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CellSpacing w:w="0" w:type="dxa"/>
        <w:shd w:val="clear" w:color="auto" w:fill="FFFFFF"/>
        <w:tblCellMar>
          <w:left w:w="0" w:type="dxa"/>
          <w:right w:w="0" w:type="dxa"/>
        </w:tblCellMar>
        <w:tblLook w:val="04A0" w:firstRow="1" w:lastRow="0" w:firstColumn="1" w:lastColumn="0" w:noHBand="0" w:noVBand="1"/>
      </w:tblPr>
      <w:tblGrid>
        <w:gridCol w:w="3510"/>
        <w:gridCol w:w="5670"/>
      </w:tblGrid>
      <w:tr w:rsidR="004970DE" w:rsidRPr="000A3C50">
        <w:trPr>
          <w:trHeight w:val="426"/>
          <w:tblCellSpacing w:w="0" w:type="dxa"/>
        </w:trPr>
        <w:tc>
          <w:tcPr>
            <w:tcW w:w="3510" w:type="dxa"/>
            <w:shd w:val="clear" w:color="auto" w:fill="FFFFFF"/>
            <w:tcMar>
              <w:top w:w="0" w:type="dxa"/>
              <w:left w:w="108" w:type="dxa"/>
              <w:bottom w:w="0" w:type="dxa"/>
              <w:right w:w="108" w:type="dxa"/>
            </w:tcMar>
          </w:tcPr>
          <w:p w:rsidR="004970DE" w:rsidRPr="000A3C50" w:rsidRDefault="00EA4F09">
            <w:pPr>
              <w:spacing w:after="0"/>
              <w:jc w:val="center"/>
              <w:rPr>
                <w:rFonts w:eastAsia="Times New Roman"/>
                <w:b/>
                <w:bCs/>
                <w:sz w:val="26"/>
                <w:szCs w:val="26"/>
              </w:rPr>
            </w:pPr>
            <w:r w:rsidRPr="000A3C50">
              <w:rPr>
                <w:rFonts w:eastAsia="Times New Roman"/>
                <w:b/>
                <w:bCs/>
                <w:sz w:val="26"/>
                <w:szCs w:val="26"/>
              </w:rPr>
              <w:t>CHỦ TỊCH UBND</w:t>
            </w:r>
          </w:p>
          <w:p w:rsidR="004970DE" w:rsidRPr="000A3C50" w:rsidRDefault="00EA4F09">
            <w:pPr>
              <w:spacing w:after="0"/>
              <w:jc w:val="center"/>
              <w:rPr>
                <w:rFonts w:eastAsia="Times New Roman"/>
                <w:b/>
                <w:bCs/>
                <w:sz w:val="26"/>
                <w:szCs w:val="26"/>
              </w:rPr>
            </w:pPr>
            <w:r w:rsidRPr="000A3C50">
              <w:rPr>
                <w:rFonts w:eastAsia="Times New Roman"/>
                <w:b/>
                <w:bCs/>
                <w:sz w:val="26"/>
                <w:szCs w:val="26"/>
              </w:rPr>
              <w:t>TỈNH TÂY NINH</w:t>
            </w:r>
          </w:p>
          <w:p w:rsidR="004970DE" w:rsidRPr="000A3C50" w:rsidRDefault="00EA4F09" w:rsidP="008A700F">
            <w:pPr>
              <w:spacing w:before="120" w:after="0"/>
              <w:ind w:left="-142"/>
              <w:jc w:val="center"/>
              <w:rPr>
                <w:rFonts w:eastAsia="Times New Roman"/>
                <w:bCs/>
                <w:sz w:val="26"/>
                <w:szCs w:val="26"/>
              </w:rPr>
            </w:pPr>
            <w:r w:rsidRPr="000A3C50">
              <w:rPr>
                <w:rFonts w:eastAsia="Times New Roman"/>
                <w:b/>
                <w:bCs/>
                <w:noProof/>
                <w:sz w:val="26"/>
                <w:szCs w:val="26"/>
              </w:rPr>
              <mc:AlternateContent>
                <mc:Choice Requires="wpg">
                  <w:drawing>
                    <wp:anchor distT="0" distB="0" distL="114300" distR="114300" simplePos="0" relativeHeight="251666944" behindDoc="0" locked="0" layoutInCell="1" allowOverlap="1">
                      <wp:simplePos x="0" y="0"/>
                      <wp:positionH relativeFrom="column">
                        <wp:posOffset>724704</wp:posOffset>
                      </wp:positionH>
                      <wp:positionV relativeFrom="paragraph">
                        <wp:posOffset>29210</wp:posOffset>
                      </wp:positionV>
                      <wp:extent cx="574887" cy="0"/>
                      <wp:effectExtent l="0" t="0" r="34925" b="19050"/>
                      <wp:wrapNone/>
                      <wp:docPr id="1" name="Lines 13"/>
                      <wp:cNvGraphicFramePr/>
                      <a:graphic xmlns:a="http://schemas.openxmlformats.org/drawingml/2006/main">
                        <a:graphicData uri="http://schemas.microsoft.com/office/word/2010/wordprocessingShape">
                          <wps:wsp>
                            <wps:cNvCnPr/>
                            <wps:spPr bwMode="auto">
                              <a:xfrm>
                                <a:off x="0" y="0"/>
                                <a:ext cx="574887" cy="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0" o:spid="_x0000_s0" style="position:absolute;left:0;text-align:left;z-index:251666944;mso-wrap-distance-left:9.00pt;mso-wrap-distance-top:0.00pt;mso-wrap-distance-right:9.00pt;mso-wrap-distance-bottom:0.00pt;visibility:visible;" from="57.1pt,2.3pt" to="102.3pt,2.3pt" filled="f" strokecolor="#000000" strokeweight="0.75pt">
                      <v:stroke dashstyle="solid"/>
                    </v:line>
                  </w:pict>
                </mc:Fallback>
              </mc:AlternateContent>
            </w:r>
            <w:r w:rsidRPr="000A3C50">
              <w:rPr>
                <w:rFonts w:eastAsia="Times New Roman"/>
                <w:bCs/>
                <w:sz w:val="26"/>
                <w:szCs w:val="26"/>
              </w:rPr>
              <w:t xml:space="preserve">    Số:  </w:t>
            </w:r>
            <w:r w:rsidR="008A700F" w:rsidRPr="000A3C50">
              <w:rPr>
                <w:rFonts w:eastAsia="Times New Roman"/>
                <w:bCs/>
                <w:sz w:val="26"/>
                <w:szCs w:val="26"/>
              </w:rPr>
              <w:t xml:space="preserve">       </w:t>
            </w:r>
            <w:r w:rsidRPr="000A3C50">
              <w:rPr>
                <w:rFonts w:eastAsia="Times New Roman"/>
                <w:bCs/>
                <w:sz w:val="26"/>
                <w:szCs w:val="26"/>
              </w:rPr>
              <w:t>/202</w:t>
            </w:r>
            <w:r w:rsidR="008A700F" w:rsidRPr="000A3C50">
              <w:rPr>
                <w:rFonts w:eastAsia="Times New Roman"/>
                <w:bCs/>
                <w:sz w:val="26"/>
                <w:szCs w:val="26"/>
              </w:rPr>
              <w:t>6</w:t>
            </w:r>
            <w:r w:rsidRPr="000A3C50">
              <w:rPr>
                <w:rFonts w:eastAsia="Times New Roman"/>
                <w:bCs/>
                <w:sz w:val="26"/>
                <w:szCs w:val="26"/>
              </w:rPr>
              <w:t>/QĐ-CTUBND</w:t>
            </w:r>
          </w:p>
        </w:tc>
        <w:tc>
          <w:tcPr>
            <w:tcW w:w="5670" w:type="dxa"/>
            <w:shd w:val="clear" w:color="auto" w:fill="FFFFFF"/>
            <w:tcMar>
              <w:top w:w="0" w:type="dxa"/>
              <w:left w:w="108" w:type="dxa"/>
              <w:bottom w:w="0" w:type="dxa"/>
              <w:right w:w="108" w:type="dxa"/>
            </w:tcMar>
          </w:tcPr>
          <w:p w:rsidR="004970DE" w:rsidRPr="000A3C50" w:rsidRDefault="00EA4F09">
            <w:pPr>
              <w:spacing w:after="0"/>
              <w:jc w:val="center"/>
              <w:rPr>
                <w:rFonts w:eastAsia="Times New Roman"/>
                <w:b/>
                <w:bCs/>
                <w:sz w:val="26"/>
                <w:szCs w:val="26"/>
              </w:rPr>
            </w:pPr>
            <w:r w:rsidRPr="000A3C50">
              <w:rPr>
                <w:rFonts w:eastAsia="Times New Roman"/>
                <w:b/>
                <w:bCs/>
                <w:sz w:val="26"/>
                <w:szCs w:val="26"/>
              </w:rPr>
              <w:t>CỘNG HÒA XÃ HỘI CHỦ NGHĨA VIỆT NAM</w:t>
            </w:r>
          </w:p>
          <w:p w:rsidR="004970DE" w:rsidRPr="000A3C50" w:rsidRDefault="00EA4F09">
            <w:pPr>
              <w:spacing w:after="60"/>
              <w:jc w:val="center"/>
              <w:rPr>
                <w:rFonts w:eastAsia="Times New Roman"/>
                <w:b/>
                <w:bCs/>
              </w:rPr>
            </w:pPr>
            <w:r w:rsidRPr="000A3C50">
              <w:rPr>
                <w:rFonts w:eastAsia="Times New Roman"/>
                <w:b/>
                <w:bCs/>
                <w:noProof/>
              </w:rPr>
              <mc:AlternateContent>
                <mc:Choice Requires="wpg">
                  <w:drawing>
                    <wp:anchor distT="0" distB="0" distL="114300" distR="114300" simplePos="0" relativeHeight="251657728" behindDoc="0" locked="0" layoutInCell="1" allowOverlap="1">
                      <wp:simplePos x="0" y="0"/>
                      <wp:positionH relativeFrom="column">
                        <wp:posOffset>826770</wp:posOffset>
                      </wp:positionH>
                      <wp:positionV relativeFrom="paragraph">
                        <wp:posOffset>240665</wp:posOffset>
                      </wp:positionV>
                      <wp:extent cx="2016125" cy="0"/>
                      <wp:effectExtent l="0" t="0" r="22225" b="19050"/>
                      <wp:wrapNone/>
                      <wp:docPr id="2" name="Lines 12"/>
                      <wp:cNvGraphicFramePr/>
                      <a:graphic xmlns:a="http://schemas.openxmlformats.org/drawingml/2006/main">
                        <a:graphicData uri="http://schemas.microsoft.com/office/word/2010/wordprocessingShape">
                          <wps:wsp>
                            <wps:cNvCnPr/>
                            <wps:spPr bwMode="auto">
                              <a:xfrm>
                                <a:off x="0" y="0"/>
                                <a:ext cx="2016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line id="shape 1" o:spid="_x0000_s1" style="position:absolute;left:0;text-align:left;z-index:251657728;mso-wrap-distance-left:9.00pt;mso-wrap-distance-top:0.00pt;mso-wrap-distance-right:9.00pt;mso-wrap-distance-bottom:0.00pt;visibility:visible;" from="65.1pt,18.9pt" to="223.8pt,18.9pt" filled="f" strokecolor="#000000" strokeweight="0.75pt">
                      <v:stroke dashstyle="solid"/>
                    </v:line>
                  </w:pict>
                </mc:Fallback>
              </mc:AlternateContent>
            </w:r>
            <w:r w:rsidRPr="000A3C50">
              <w:rPr>
                <w:rFonts w:eastAsia="Times New Roman"/>
                <w:b/>
                <w:bCs/>
              </w:rPr>
              <w:t>Độc lập - Tự do - Hạnh phúc</w:t>
            </w:r>
          </w:p>
          <w:p w:rsidR="004970DE" w:rsidRPr="000A3C50" w:rsidRDefault="00EA4F09" w:rsidP="008A700F">
            <w:pPr>
              <w:spacing w:before="120" w:after="0"/>
              <w:ind w:left="-108"/>
              <w:jc w:val="center"/>
              <w:rPr>
                <w:rFonts w:eastAsia="Times New Roman"/>
                <w:bCs/>
                <w:i/>
                <w:sz w:val="26"/>
                <w:szCs w:val="26"/>
              </w:rPr>
            </w:pPr>
            <w:r w:rsidRPr="000A3C50">
              <w:rPr>
                <w:rFonts w:eastAsia="Times New Roman"/>
                <w:bCs/>
                <w:i/>
              </w:rPr>
              <w:t xml:space="preserve">Tây Ninh, ngày       tháng </w:t>
            </w:r>
            <w:r w:rsidR="008A700F" w:rsidRPr="000A3C50">
              <w:rPr>
                <w:rFonts w:eastAsia="Times New Roman"/>
                <w:bCs/>
                <w:i/>
              </w:rPr>
              <w:t xml:space="preserve"> </w:t>
            </w:r>
            <w:r w:rsidRPr="000A3C50">
              <w:rPr>
                <w:rFonts w:eastAsia="Times New Roman"/>
                <w:bCs/>
                <w:i/>
              </w:rPr>
              <w:t xml:space="preserve"> năm 202</w:t>
            </w:r>
            <w:r w:rsidR="008A700F" w:rsidRPr="000A3C50">
              <w:rPr>
                <w:rFonts w:eastAsia="Times New Roman"/>
                <w:bCs/>
                <w:i/>
              </w:rPr>
              <w:t>6</w:t>
            </w:r>
          </w:p>
        </w:tc>
      </w:tr>
      <w:tr w:rsidR="004970DE" w:rsidRPr="000A3C50">
        <w:trPr>
          <w:trHeight w:val="336"/>
          <w:tblCellSpacing w:w="0" w:type="dxa"/>
        </w:trPr>
        <w:tc>
          <w:tcPr>
            <w:tcW w:w="3510" w:type="dxa"/>
            <w:shd w:val="clear" w:color="auto" w:fill="FFFFFF"/>
            <w:tcMar>
              <w:top w:w="0" w:type="dxa"/>
              <w:left w:w="108" w:type="dxa"/>
              <w:bottom w:w="0" w:type="dxa"/>
              <w:right w:w="108" w:type="dxa"/>
            </w:tcMar>
          </w:tcPr>
          <w:p w:rsidR="004970DE" w:rsidRPr="000A3C50" w:rsidRDefault="004970DE">
            <w:pPr>
              <w:spacing w:after="120" w:line="234" w:lineRule="atLeast"/>
              <w:jc w:val="center"/>
              <w:rPr>
                <w:rFonts w:eastAsia="Times New Roman"/>
                <w:b/>
                <w:i/>
                <w:sz w:val="26"/>
                <w:szCs w:val="26"/>
              </w:rPr>
            </w:pPr>
          </w:p>
        </w:tc>
        <w:tc>
          <w:tcPr>
            <w:tcW w:w="5670" w:type="dxa"/>
            <w:shd w:val="clear" w:color="auto" w:fill="FFFFFF"/>
            <w:tcMar>
              <w:top w:w="0" w:type="dxa"/>
              <w:left w:w="108" w:type="dxa"/>
              <w:bottom w:w="0" w:type="dxa"/>
              <w:right w:w="108" w:type="dxa"/>
            </w:tcMar>
          </w:tcPr>
          <w:p w:rsidR="004970DE" w:rsidRPr="000A3C50" w:rsidRDefault="004970DE">
            <w:pPr>
              <w:spacing w:after="120" w:line="234" w:lineRule="atLeast"/>
              <w:jc w:val="center"/>
              <w:rPr>
                <w:rFonts w:eastAsia="Times New Roman"/>
                <w:sz w:val="26"/>
                <w:szCs w:val="26"/>
              </w:rPr>
            </w:pPr>
          </w:p>
        </w:tc>
      </w:tr>
    </w:tbl>
    <w:p w:rsidR="004970DE" w:rsidRPr="000A3C50" w:rsidRDefault="00EA4F09">
      <w:pPr>
        <w:shd w:val="clear" w:color="auto" w:fill="FFFFFF"/>
        <w:spacing w:after="0"/>
        <w:ind w:firstLine="680"/>
        <w:jc w:val="center"/>
        <w:rPr>
          <w:b/>
        </w:rPr>
      </w:pPr>
      <w:r w:rsidRPr="000A3C50">
        <w:rPr>
          <w:b/>
        </w:rPr>
        <w:t>QUY</w:t>
      </w:r>
      <w:r w:rsidRPr="000A3C50">
        <w:rPr>
          <w:b/>
        </w:rPr>
        <w:t>Ế</w:t>
      </w:r>
      <w:r w:rsidRPr="000A3C50">
        <w:rPr>
          <w:b/>
        </w:rPr>
        <w:t>T Đ</w:t>
      </w:r>
      <w:r w:rsidRPr="000A3C50">
        <w:rPr>
          <w:b/>
        </w:rPr>
        <w:t>Ị</w:t>
      </w:r>
      <w:r w:rsidRPr="000A3C50">
        <w:rPr>
          <w:b/>
        </w:rPr>
        <w:t>NH</w:t>
      </w:r>
    </w:p>
    <w:p w:rsidR="004970DE" w:rsidRPr="000A3C50" w:rsidRDefault="00504142">
      <w:pPr>
        <w:shd w:val="clear" w:color="auto" w:fill="FFFFFF"/>
        <w:spacing w:after="0"/>
        <w:ind w:firstLine="680"/>
        <w:jc w:val="center"/>
        <w:rPr>
          <w:b/>
          <w:bCs/>
        </w:rPr>
      </w:pPr>
      <w:r w:rsidRPr="000A3C50">
        <w:rPr>
          <w:b/>
          <w:bCs/>
        </w:rPr>
        <w:t xml:space="preserve">Về việc sửa đổi, bổ sung </w:t>
      </w:r>
      <w:r w:rsidR="002A3AEE" w:rsidRPr="000A3C50">
        <w:rPr>
          <w:b/>
          <w:bCs/>
        </w:rPr>
        <w:t xml:space="preserve">một số điều của </w:t>
      </w:r>
      <w:r w:rsidR="003A6BFA">
        <w:rPr>
          <w:b/>
          <w:bCs/>
        </w:rPr>
        <w:t xml:space="preserve">Quy định kèm theo </w:t>
      </w:r>
      <w:r w:rsidRPr="000A3C50">
        <w:rPr>
          <w:b/>
          <w:bCs/>
        </w:rPr>
        <w:t>Quyết định số 46/2025/QĐ-CTUBND ngày 01/12/2025 của Chủ tịch Ủy ban nhân dân tỉnh</w:t>
      </w:r>
      <w:r w:rsidR="00EA47DC" w:rsidRPr="000A3C50">
        <w:rPr>
          <w:b/>
          <w:bCs/>
        </w:rPr>
        <w:t xml:space="preserve"> ban hành Quy định phân cấp thẩm quyền quyết định trong quản lý, sử dụng tài sản công của các cơ quan, tổ chức, đơn vị trên địa bàn tỉnh Tây Ninh</w:t>
      </w:r>
    </w:p>
    <w:p w:rsidR="004970DE" w:rsidRPr="000A3C50" w:rsidRDefault="004970DE">
      <w:pPr>
        <w:spacing w:after="60" w:line="264" w:lineRule="auto"/>
        <w:ind w:firstLine="680"/>
        <w:jc w:val="both"/>
        <w:rPr>
          <w:i/>
          <w:iCs/>
        </w:rPr>
      </w:pPr>
    </w:p>
    <w:p w:rsidR="004970DE" w:rsidRPr="000A3C50" w:rsidRDefault="00EA4F09" w:rsidP="00AC3986">
      <w:pPr>
        <w:widowControl w:val="0"/>
        <w:spacing w:after="120" w:line="264" w:lineRule="auto"/>
        <w:ind w:firstLine="680"/>
        <w:jc w:val="both"/>
        <w:rPr>
          <w:bCs/>
          <w:i/>
        </w:rPr>
      </w:pPr>
      <w:r w:rsidRPr="000A3C50">
        <w:rPr>
          <w:i/>
          <w:iCs/>
        </w:rPr>
        <w:t>Căn c</w:t>
      </w:r>
      <w:r w:rsidRPr="000A3C50">
        <w:rPr>
          <w:i/>
          <w:iCs/>
        </w:rPr>
        <w:t>ứ</w:t>
      </w:r>
      <w:r w:rsidRPr="000A3C50">
        <w:rPr>
          <w:i/>
          <w:iCs/>
        </w:rPr>
        <w:t xml:space="preserve"> Lu</w:t>
      </w:r>
      <w:r w:rsidRPr="000A3C50">
        <w:rPr>
          <w:i/>
          <w:iCs/>
        </w:rPr>
        <w:t>ậ</w:t>
      </w:r>
      <w:r w:rsidRPr="000A3C50">
        <w:rPr>
          <w:i/>
          <w:iCs/>
        </w:rPr>
        <w:t>t T</w:t>
      </w:r>
      <w:r w:rsidRPr="000A3C50">
        <w:rPr>
          <w:i/>
          <w:iCs/>
        </w:rPr>
        <w:t>ổ</w:t>
      </w:r>
      <w:r w:rsidRPr="000A3C50">
        <w:rPr>
          <w:i/>
          <w:iCs/>
        </w:rPr>
        <w:t xml:space="preserve"> ch</w:t>
      </w:r>
      <w:r w:rsidRPr="000A3C50">
        <w:rPr>
          <w:i/>
          <w:iCs/>
        </w:rPr>
        <w:t>ứ</w:t>
      </w:r>
      <w:r w:rsidRPr="000A3C50">
        <w:rPr>
          <w:i/>
          <w:iCs/>
        </w:rPr>
        <w:t>c chính quy</w:t>
      </w:r>
      <w:r w:rsidRPr="000A3C50">
        <w:rPr>
          <w:i/>
          <w:iCs/>
        </w:rPr>
        <w:t>ề</w:t>
      </w:r>
      <w:r w:rsidRPr="000A3C50">
        <w:rPr>
          <w:i/>
          <w:iCs/>
        </w:rPr>
        <w:t>n đ</w:t>
      </w:r>
      <w:r w:rsidRPr="000A3C50">
        <w:rPr>
          <w:i/>
          <w:iCs/>
        </w:rPr>
        <w:t>ị</w:t>
      </w:r>
      <w:r w:rsidRPr="000A3C50">
        <w:rPr>
          <w:i/>
          <w:iCs/>
        </w:rPr>
        <w:t>a phương s</w:t>
      </w:r>
      <w:r w:rsidRPr="000A3C50">
        <w:rPr>
          <w:i/>
          <w:iCs/>
        </w:rPr>
        <w:t>ố</w:t>
      </w:r>
      <w:r w:rsidRPr="000A3C50">
        <w:rPr>
          <w:i/>
          <w:iCs/>
        </w:rPr>
        <w:t xml:space="preserve"> 72/2025/QH15;</w:t>
      </w:r>
    </w:p>
    <w:p w:rsidR="000A3C50" w:rsidRPr="000A3C50" w:rsidRDefault="000A3C50" w:rsidP="00AC3986">
      <w:pPr>
        <w:widowControl w:val="0"/>
        <w:spacing w:after="120" w:line="264" w:lineRule="auto"/>
        <w:ind w:firstLine="680"/>
        <w:jc w:val="both"/>
        <w:rPr>
          <w:i/>
          <w:iCs/>
        </w:rPr>
      </w:pPr>
      <w:r w:rsidRPr="000A3C50">
        <w:rPr>
          <w:i/>
          <w:iCs/>
        </w:rPr>
        <w:t>Căn cứ Luật Quản lý, sử dụng tài sản công số 15/2017/QH14;</w:t>
      </w:r>
    </w:p>
    <w:p w:rsidR="000A3C50" w:rsidRPr="000A3C50" w:rsidRDefault="000A3C50" w:rsidP="00AC3986">
      <w:pPr>
        <w:widowControl w:val="0"/>
        <w:spacing w:after="120" w:line="264" w:lineRule="auto"/>
        <w:ind w:firstLine="680"/>
        <w:jc w:val="both"/>
        <w:rPr>
          <w:i/>
          <w:iCs/>
        </w:rPr>
      </w:pPr>
      <w:r w:rsidRPr="000A3C50">
        <w:rPr>
          <w:i/>
          <w:iCs/>
        </w:rPr>
        <w:t>Căn cứ Luật Đầu tư theo phương thức đối tác công tư số 64/2020/QH14 ngày 18/6/2020;</w:t>
      </w:r>
    </w:p>
    <w:p w:rsidR="000A3C50" w:rsidRPr="000A3C50" w:rsidRDefault="000A3C50" w:rsidP="00AC3986">
      <w:pPr>
        <w:widowControl w:val="0"/>
        <w:spacing w:after="120" w:line="264" w:lineRule="auto"/>
        <w:ind w:firstLine="680"/>
        <w:jc w:val="both"/>
        <w:rPr>
          <w:i/>
          <w:iCs/>
        </w:rPr>
      </w:pPr>
      <w:r w:rsidRPr="000A3C50">
        <w:rPr>
          <w:i/>
          <w:iCs/>
        </w:rPr>
        <w:t>Căn cứ Luật sửa đổi, bổ sung một số điều của Luật sở hữu trí tuệ số 07/2022/QH15 ngày 16/6/2022;</w:t>
      </w:r>
    </w:p>
    <w:p w:rsidR="000A3C50" w:rsidRPr="000A3C50" w:rsidRDefault="000A3C50" w:rsidP="00AC3986">
      <w:pPr>
        <w:widowControl w:val="0"/>
        <w:spacing w:after="120" w:line="264" w:lineRule="auto"/>
        <w:ind w:firstLine="680"/>
        <w:jc w:val="both"/>
        <w:rPr>
          <w:i/>
          <w:iCs/>
        </w:rPr>
      </w:pPr>
      <w:r w:rsidRPr="000A3C50">
        <w:rPr>
          <w:i/>
          <w:iCs/>
        </w:rPr>
        <w:t>Căn cứ Luật Viễn thông số 24/2023/QH15 ngày 24/11/2023;</w:t>
      </w:r>
    </w:p>
    <w:p w:rsidR="000A3C50" w:rsidRPr="000A3C50" w:rsidRDefault="000A3C50" w:rsidP="00AC3986">
      <w:pPr>
        <w:widowControl w:val="0"/>
        <w:spacing w:after="120" w:line="264" w:lineRule="auto"/>
        <w:ind w:firstLine="680"/>
        <w:jc w:val="both"/>
        <w:rPr>
          <w:i/>
          <w:iCs/>
        </w:rPr>
      </w:pPr>
      <w:r w:rsidRPr="000A3C50">
        <w:rPr>
          <w:i/>
          <w:iCs/>
        </w:rPr>
        <w:t>Căn cứ Luật Đất đai số 31/2024/QH15 ngày 18/01/2024;</w:t>
      </w:r>
    </w:p>
    <w:p w:rsidR="000A3C50" w:rsidRPr="000A3C50" w:rsidRDefault="000A3C50" w:rsidP="00AC3986">
      <w:pPr>
        <w:widowControl w:val="0"/>
        <w:spacing w:after="120" w:line="264" w:lineRule="auto"/>
        <w:ind w:firstLine="680"/>
        <w:jc w:val="both"/>
        <w:rPr>
          <w:i/>
          <w:iCs/>
        </w:rPr>
      </w:pPr>
      <w:r w:rsidRPr="000A3C50">
        <w:rPr>
          <w:i/>
          <w:iCs/>
        </w:rPr>
        <w:t>Căn cứ Luật số 43/2024/QH15 ngày 29/6/2024 về sửa đổi, bổ sung một số điều của Luật Đất đai số 31/2024/QH15, Luật Nhà ở số 27/2023/QH15, Luật Kinh doanh bất động sản số 29/2023/QH15 và Luật các tổ chức tín dụng số 32/2024/QH15;</w:t>
      </w:r>
    </w:p>
    <w:p w:rsidR="000A3C50" w:rsidRPr="000A3C50" w:rsidRDefault="000A3C50" w:rsidP="00AC3986">
      <w:pPr>
        <w:widowControl w:val="0"/>
        <w:spacing w:after="120" w:line="264" w:lineRule="auto"/>
        <w:ind w:firstLine="680"/>
        <w:jc w:val="both"/>
        <w:rPr>
          <w:i/>
          <w:iCs/>
        </w:rPr>
      </w:pPr>
      <w:r w:rsidRPr="000A3C50">
        <w:rPr>
          <w:i/>
          <w:iCs/>
        </w:rPr>
        <w:t>Căn cứ Luật số 56/2024/QH15 ngày 29/11/2024 về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4970DE" w:rsidRPr="000A3C50" w:rsidRDefault="000A3C50" w:rsidP="00AC3986">
      <w:pPr>
        <w:widowControl w:val="0"/>
        <w:spacing w:after="120" w:line="264" w:lineRule="auto"/>
        <w:ind w:firstLine="680"/>
        <w:jc w:val="both"/>
        <w:rPr>
          <w:i/>
          <w:iCs/>
        </w:rPr>
      </w:pPr>
      <w:r w:rsidRPr="000A3C50">
        <w:rPr>
          <w:i/>
          <w:iCs/>
        </w:rPr>
        <w:t>Căn cứ Luật số 90/2025/QH15 ngày 25/6/2025 về sửa đổi, bổ sung một số điều của Luật Đấu thầu, Luật Đầu tư theo phương thức đối tác công tư, Luật Hải quan, Luật Thuế Giá trị gia tăng, Luật Thuế Xuất khẩu, Thuế Nhập khẩu, Luật Đầu tư, Luật Quản lý sử dụng tài sản công;</w:t>
      </w:r>
      <w:r w:rsidR="00EA4F09" w:rsidRPr="000A3C50">
        <w:rPr>
          <w:i/>
          <w:iCs/>
          <w:lang w:val="nl-NL"/>
        </w:rPr>
        <w:t>Căn c</w:t>
      </w:r>
      <w:r w:rsidR="00EA4F09" w:rsidRPr="000A3C50">
        <w:rPr>
          <w:i/>
          <w:iCs/>
          <w:lang w:val="nl-NL"/>
        </w:rPr>
        <w:t>ứ</w:t>
      </w:r>
      <w:r w:rsidR="00EA4F09" w:rsidRPr="000A3C50">
        <w:rPr>
          <w:i/>
          <w:iCs/>
          <w:lang w:val="nl-NL"/>
        </w:rPr>
        <w:t xml:space="preserve"> Nghị định số 186/2025/NĐ-CP ngày 01 tháng 7 năm 2025 của Chính phủ quy định chi tiết một số điều c</w:t>
      </w:r>
      <w:r w:rsidR="00EA4F09" w:rsidRPr="000A3C50">
        <w:rPr>
          <w:i/>
          <w:iCs/>
          <w:lang w:val="nl-NL"/>
        </w:rPr>
        <w:t>ủ</w:t>
      </w:r>
      <w:r w:rsidR="00EA4F09" w:rsidRPr="000A3C50">
        <w:rPr>
          <w:i/>
          <w:iCs/>
          <w:lang w:val="nl-NL"/>
        </w:rPr>
        <w:t>a Luật Quản lý, sử dụng tài sản công;</w:t>
      </w:r>
    </w:p>
    <w:p w:rsidR="004716C9" w:rsidRDefault="004716C9" w:rsidP="00AC3986">
      <w:pPr>
        <w:widowControl w:val="0"/>
        <w:spacing w:after="120" w:line="264" w:lineRule="auto"/>
        <w:ind w:firstLine="680"/>
        <w:jc w:val="both"/>
        <w:rPr>
          <w:i/>
          <w:iCs/>
          <w:lang w:val="nl-NL"/>
        </w:rPr>
      </w:pPr>
      <w:r w:rsidRPr="004716C9">
        <w:rPr>
          <w:i/>
          <w:iCs/>
          <w:lang w:val="nl-NL"/>
        </w:rPr>
        <w:t>Căn cứ Nghị định số 186/2025/NĐ-CP ngày 01/7/2025 của Chính phủ quy định chi tiết một số điều của Luật Quản lý, sử dụng tài sản công;</w:t>
      </w:r>
    </w:p>
    <w:p w:rsidR="004970DE" w:rsidRDefault="00EA4F09" w:rsidP="00AC3986">
      <w:pPr>
        <w:widowControl w:val="0"/>
        <w:spacing w:after="120" w:line="264" w:lineRule="auto"/>
        <w:ind w:firstLine="680"/>
        <w:jc w:val="both"/>
        <w:rPr>
          <w:i/>
          <w:iCs/>
        </w:rPr>
      </w:pPr>
      <w:r w:rsidRPr="000A3C50">
        <w:rPr>
          <w:i/>
          <w:iCs/>
          <w:lang w:val="nl-NL"/>
        </w:rPr>
        <w:t>C</w:t>
      </w:r>
      <w:r w:rsidRPr="000A3C50">
        <w:rPr>
          <w:i/>
          <w:iCs/>
          <w:lang w:val="nl-NL"/>
        </w:rPr>
        <w:t>ăn c</w:t>
      </w:r>
      <w:r w:rsidRPr="000A3C50">
        <w:rPr>
          <w:i/>
          <w:iCs/>
          <w:lang w:val="nl-NL"/>
        </w:rPr>
        <w:t>ứ</w:t>
      </w:r>
      <w:r w:rsidRPr="000A3C50">
        <w:rPr>
          <w:i/>
          <w:iCs/>
          <w:lang w:val="nl-NL"/>
        </w:rPr>
        <w:t xml:space="preserve"> </w:t>
      </w:r>
      <w:r w:rsidRPr="000A3C50">
        <w:rPr>
          <w:i/>
          <w:iCs/>
        </w:rPr>
        <w:t>Ngh</w:t>
      </w:r>
      <w:r w:rsidRPr="000A3C50">
        <w:rPr>
          <w:i/>
          <w:iCs/>
        </w:rPr>
        <w:t>ị</w:t>
      </w:r>
      <w:r w:rsidRPr="000A3C50">
        <w:rPr>
          <w:i/>
          <w:iCs/>
        </w:rPr>
        <w:t xml:space="preserve"> đ</w:t>
      </w:r>
      <w:r w:rsidRPr="000A3C50">
        <w:rPr>
          <w:i/>
          <w:iCs/>
        </w:rPr>
        <w:t>ị</w:t>
      </w:r>
      <w:r w:rsidRPr="000A3C50">
        <w:rPr>
          <w:i/>
          <w:iCs/>
        </w:rPr>
        <w:t>nh s</w:t>
      </w:r>
      <w:r w:rsidRPr="000A3C50">
        <w:rPr>
          <w:i/>
          <w:iCs/>
        </w:rPr>
        <w:t>ố</w:t>
      </w:r>
      <w:r w:rsidRPr="000A3C50">
        <w:rPr>
          <w:i/>
          <w:iCs/>
        </w:rPr>
        <w:t xml:space="preserve"> 286/2025/NĐ-CP ngày 03</w:t>
      </w:r>
      <w:r w:rsidR="000A3C50">
        <w:rPr>
          <w:i/>
          <w:iCs/>
        </w:rPr>
        <w:t>/</w:t>
      </w:r>
      <w:r w:rsidRPr="000A3C50">
        <w:rPr>
          <w:i/>
          <w:iCs/>
        </w:rPr>
        <w:t>11</w:t>
      </w:r>
      <w:r w:rsidR="000A3C50">
        <w:rPr>
          <w:i/>
          <w:iCs/>
        </w:rPr>
        <w:t>/</w:t>
      </w:r>
      <w:r w:rsidRPr="000A3C50">
        <w:rPr>
          <w:i/>
          <w:iCs/>
        </w:rPr>
        <w:t>2025 c</w:t>
      </w:r>
      <w:r w:rsidRPr="000A3C50">
        <w:rPr>
          <w:i/>
          <w:iCs/>
        </w:rPr>
        <w:t>ủ</w:t>
      </w:r>
      <w:r w:rsidRPr="000A3C50">
        <w:rPr>
          <w:i/>
          <w:iCs/>
        </w:rPr>
        <w:t>a Chính ph</w:t>
      </w:r>
      <w:r w:rsidRPr="000A3C50">
        <w:rPr>
          <w:i/>
          <w:iCs/>
        </w:rPr>
        <w:t>ủ</w:t>
      </w:r>
      <w:r w:rsidRPr="000A3C50">
        <w:rPr>
          <w:i/>
          <w:iCs/>
        </w:rPr>
        <w:t xml:space="preserve"> s</w:t>
      </w:r>
      <w:r w:rsidRPr="000A3C50">
        <w:rPr>
          <w:i/>
          <w:iCs/>
        </w:rPr>
        <w:t>ử</w:t>
      </w:r>
      <w:r w:rsidRPr="000A3C50">
        <w:rPr>
          <w:i/>
          <w:iCs/>
        </w:rPr>
        <w:t>a đ</w:t>
      </w:r>
      <w:r w:rsidRPr="000A3C50">
        <w:rPr>
          <w:i/>
          <w:iCs/>
        </w:rPr>
        <w:t>ổ</w:t>
      </w:r>
      <w:r w:rsidRPr="000A3C50">
        <w:rPr>
          <w:i/>
          <w:iCs/>
        </w:rPr>
        <w:t>i, b</w:t>
      </w:r>
      <w:r w:rsidRPr="000A3C50">
        <w:rPr>
          <w:i/>
          <w:iCs/>
        </w:rPr>
        <w:t>ổ</w:t>
      </w:r>
      <w:r w:rsidRPr="000A3C50">
        <w:rPr>
          <w:i/>
          <w:iCs/>
        </w:rPr>
        <w:t xml:space="preserve"> sung m</w:t>
      </w:r>
      <w:r w:rsidRPr="000A3C50">
        <w:rPr>
          <w:i/>
          <w:iCs/>
        </w:rPr>
        <w:t>ộ</w:t>
      </w:r>
      <w:r w:rsidRPr="000A3C50">
        <w:rPr>
          <w:i/>
          <w:iCs/>
        </w:rPr>
        <w:t>t s</w:t>
      </w:r>
      <w:r w:rsidRPr="000A3C50">
        <w:rPr>
          <w:i/>
          <w:iCs/>
        </w:rPr>
        <w:t>ố</w:t>
      </w:r>
      <w:r w:rsidRPr="000A3C50">
        <w:rPr>
          <w:i/>
          <w:iCs/>
        </w:rPr>
        <w:t xml:space="preserve"> đi</w:t>
      </w:r>
      <w:r w:rsidRPr="000A3C50">
        <w:rPr>
          <w:i/>
          <w:iCs/>
        </w:rPr>
        <w:t>ề</w:t>
      </w:r>
      <w:r w:rsidRPr="000A3C50">
        <w:rPr>
          <w:i/>
          <w:iCs/>
        </w:rPr>
        <w:t>u c</w:t>
      </w:r>
      <w:r w:rsidRPr="000A3C50">
        <w:rPr>
          <w:i/>
          <w:iCs/>
        </w:rPr>
        <w:t>ủ</w:t>
      </w:r>
      <w:r w:rsidRPr="000A3C50">
        <w:rPr>
          <w:i/>
          <w:iCs/>
        </w:rPr>
        <w:t>a các Ngh</w:t>
      </w:r>
      <w:r w:rsidRPr="000A3C50">
        <w:rPr>
          <w:i/>
          <w:iCs/>
        </w:rPr>
        <w:t>ị</w:t>
      </w:r>
      <w:r w:rsidRPr="000A3C50">
        <w:rPr>
          <w:i/>
          <w:iCs/>
        </w:rPr>
        <w:t xml:space="preserve"> đ</w:t>
      </w:r>
      <w:r w:rsidRPr="000A3C50">
        <w:rPr>
          <w:i/>
          <w:iCs/>
        </w:rPr>
        <w:t>ị</w:t>
      </w:r>
      <w:r w:rsidRPr="000A3C50">
        <w:rPr>
          <w:i/>
          <w:iCs/>
        </w:rPr>
        <w:t>nh trong lĩnh v</w:t>
      </w:r>
      <w:r w:rsidRPr="000A3C50">
        <w:rPr>
          <w:i/>
          <w:iCs/>
        </w:rPr>
        <w:t>ự</w:t>
      </w:r>
      <w:r w:rsidRPr="000A3C50">
        <w:rPr>
          <w:i/>
          <w:iCs/>
        </w:rPr>
        <w:t>c qu</w:t>
      </w:r>
      <w:r w:rsidRPr="000A3C50">
        <w:rPr>
          <w:i/>
          <w:iCs/>
        </w:rPr>
        <w:t>ả</w:t>
      </w:r>
      <w:r w:rsidRPr="000A3C50">
        <w:rPr>
          <w:i/>
          <w:iCs/>
        </w:rPr>
        <w:t>n lý, s</w:t>
      </w:r>
      <w:r w:rsidRPr="000A3C50">
        <w:rPr>
          <w:i/>
          <w:iCs/>
        </w:rPr>
        <w:t>ử</w:t>
      </w:r>
      <w:r w:rsidRPr="000A3C50">
        <w:rPr>
          <w:i/>
          <w:iCs/>
        </w:rPr>
        <w:t xml:space="preserve"> d</w:t>
      </w:r>
      <w:r w:rsidRPr="000A3C50">
        <w:rPr>
          <w:i/>
          <w:iCs/>
        </w:rPr>
        <w:t>ụ</w:t>
      </w:r>
      <w:r w:rsidRPr="000A3C50">
        <w:rPr>
          <w:i/>
          <w:iCs/>
        </w:rPr>
        <w:t xml:space="preserve">ng tài </w:t>
      </w:r>
      <w:r w:rsidRPr="000A3C50">
        <w:rPr>
          <w:i/>
          <w:iCs/>
        </w:rPr>
        <w:lastRenderedPageBreak/>
        <w:t>s</w:t>
      </w:r>
      <w:r w:rsidRPr="000A3C50">
        <w:rPr>
          <w:i/>
          <w:iCs/>
        </w:rPr>
        <w:t>ả</w:t>
      </w:r>
      <w:r w:rsidRPr="000A3C50">
        <w:rPr>
          <w:i/>
          <w:iCs/>
        </w:rPr>
        <w:t xml:space="preserve">n công; </w:t>
      </w:r>
    </w:p>
    <w:p w:rsidR="004716C9" w:rsidRDefault="004716C9" w:rsidP="00AC3986">
      <w:pPr>
        <w:widowControl w:val="0"/>
        <w:spacing w:after="120" w:line="264" w:lineRule="auto"/>
        <w:ind w:firstLine="680"/>
        <w:jc w:val="both"/>
        <w:rPr>
          <w:i/>
          <w:iCs/>
        </w:rPr>
      </w:pPr>
      <w:r>
        <w:rPr>
          <w:i/>
          <w:iCs/>
        </w:rPr>
        <w:t xml:space="preserve">Căn cứ Nghị định số 52/2026/NĐ-CP ngày 02/02/2026 của Chính phủ </w:t>
      </w:r>
      <w:bookmarkStart w:id="0" w:name="loai_1_name"/>
      <w:r>
        <w:rPr>
          <w:i/>
          <w:iCs/>
        </w:rPr>
        <w:t>quy định việc quản lý, sử dụng tài sản tại cơ quan Đảng Cộng sản Việt Nam</w:t>
      </w:r>
      <w:bookmarkEnd w:id="0"/>
      <w:r>
        <w:rPr>
          <w:i/>
          <w:iCs/>
        </w:rPr>
        <w:t>;</w:t>
      </w:r>
    </w:p>
    <w:p w:rsidR="004970DE" w:rsidRPr="000A3C50" w:rsidRDefault="00EA4F09" w:rsidP="00AC3986">
      <w:pPr>
        <w:widowControl w:val="0"/>
        <w:spacing w:after="120" w:line="264" w:lineRule="auto"/>
        <w:ind w:firstLine="680"/>
        <w:jc w:val="both"/>
        <w:rPr>
          <w:i/>
          <w:iCs/>
        </w:rPr>
      </w:pPr>
      <w:r w:rsidRPr="000A3C50">
        <w:rPr>
          <w:i/>
          <w:iCs/>
          <w:lang w:val="nl-NL"/>
        </w:rPr>
        <w:t>Theo đ</w:t>
      </w:r>
      <w:r w:rsidRPr="000A3C50">
        <w:rPr>
          <w:i/>
          <w:iCs/>
          <w:lang w:val="nl-NL"/>
        </w:rPr>
        <w:t>ề</w:t>
      </w:r>
      <w:r w:rsidRPr="000A3C50">
        <w:rPr>
          <w:i/>
          <w:iCs/>
          <w:lang w:val="nl-NL"/>
        </w:rPr>
        <w:t xml:space="preserve"> ngh</w:t>
      </w:r>
      <w:r w:rsidRPr="000A3C50">
        <w:rPr>
          <w:i/>
          <w:iCs/>
          <w:lang w:val="nl-NL"/>
        </w:rPr>
        <w:t>ị</w:t>
      </w:r>
      <w:r w:rsidRPr="000A3C50">
        <w:rPr>
          <w:i/>
          <w:iCs/>
          <w:lang w:val="nl-NL"/>
        </w:rPr>
        <w:t xml:space="preserve"> c</w:t>
      </w:r>
      <w:r w:rsidRPr="000A3C50">
        <w:rPr>
          <w:i/>
          <w:iCs/>
          <w:lang w:val="nl-NL"/>
        </w:rPr>
        <w:t>ủ</w:t>
      </w:r>
      <w:r w:rsidRPr="000A3C50">
        <w:rPr>
          <w:i/>
          <w:iCs/>
          <w:lang w:val="nl-NL"/>
        </w:rPr>
        <w:t>a Giám đ</w:t>
      </w:r>
      <w:r w:rsidRPr="000A3C50">
        <w:rPr>
          <w:i/>
          <w:iCs/>
          <w:lang w:val="nl-NL"/>
        </w:rPr>
        <w:t>ố</w:t>
      </w:r>
      <w:r w:rsidRPr="000A3C50">
        <w:rPr>
          <w:i/>
          <w:iCs/>
          <w:lang w:val="nl-NL"/>
        </w:rPr>
        <w:t>c S</w:t>
      </w:r>
      <w:r w:rsidRPr="000A3C50">
        <w:rPr>
          <w:i/>
          <w:iCs/>
          <w:lang w:val="nl-NL"/>
        </w:rPr>
        <w:t>ở</w:t>
      </w:r>
      <w:r w:rsidRPr="000A3C50">
        <w:rPr>
          <w:i/>
          <w:iCs/>
          <w:lang w:val="nl-NL"/>
        </w:rPr>
        <w:t xml:space="preserve"> Tài chính</w:t>
      </w:r>
      <w:r w:rsidRPr="000A3C50">
        <w:rPr>
          <w:i/>
          <w:iCs/>
          <w:lang w:val="nl-NL"/>
        </w:rPr>
        <w:t>;</w:t>
      </w:r>
    </w:p>
    <w:p w:rsidR="004970DE" w:rsidRPr="000A3C50" w:rsidRDefault="00EA4F09" w:rsidP="00AC3986">
      <w:pPr>
        <w:widowControl w:val="0"/>
        <w:spacing w:after="120" w:line="264" w:lineRule="auto"/>
        <w:ind w:firstLine="680"/>
        <w:jc w:val="both"/>
        <w:rPr>
          <w:bCs/>
          <w:i/>
        </w:rPr>
      </w:pPr>
      <w:r w:rsidRPr="000A3C50">
        <w:rPr>
          <w:i/>
          <w:iCs/>
          <w:lang w:val="nl-NL"/>
        </w:rPr>
        <w:t>Ch</w:t>
      </w:r>
      <w:r w:rsidRPr="000A3C50">
        <w:rPr>
          <w:i/>
          <w:iCs/>
          <w:lang w:val="nl-NL"/>
        </w:rPr>
        <w:t>ủ</w:t>
      </w:r>
      <w:r w:rsidRPr="000A3C50">
        <w:rPr>
          <w:i/>
          <w:iCs/>
          <w:lang w:val="nl-NL"/>
        </w:rPr>
        <w:t xml:space="preserve"> t</w:t>
      </w:r>
      <w:r w:rsidRPr="000A3C50">
        <w:rPr>
          <w:i/>
          <w:iCs/>
          <w:lang w:val="nl-NL"/>
        </w:rPr>
        <w:t>ị</w:t>
      </w:r>
      <w:r w:rsidRPr="000A3C50">
        <w:rPr>
          <w:i/>
          <w:iCs/>
          <w:lang w:val="nl-NL"/>
        </w:rPr>
        <w:t xml:space="preserve">ch </w:t>
      </w:r>
      <w:r w:rsidRPr="000A3C50">
        <w:rPr>
          <w:i/>
          <w:iCs/>
          <w:lang w:val="nl-NL"/>
        </w:rPr>
        <w:t>Ủ</w:t>
      </w:r>
      <w:r w:rsidRPr="000A3C50">
        <w:rPr>
          <w:i/>
          <w:iCs/>
          <w:lang w:val="nl-NL"/>
        </w:rPr>
        <w:t>y ban nhân dân ban hành Quy</w:t>
      </w:r>
      <w:r w:rsidRPr="000A3C50">
        <w:rPr>
          <w:i/>
          <w:iCs/>
          <w:lang w:val="nl-NL"/>
        </w:rPr>
        <w:t>ế</w:t>
      </w:r>
      <w:r w:rsidRPr="000A3C50">
        <w:rPr>
          <w:i/>
          <w:iCs/>
          <w:lang w:val="nl-NL"/>
        </w:rPr>
        <w:t>t đ</w:t>
      </w:r>
      <w:r w:rsidRPr="000A3C50">
        <w:rPr>
          <w:i/>
          <w:iCs/>
          <w:lang w:val="nl-NL"/>
        </w:rPr>
        <w:t>ị</w:t>
      </w:r>
      <w:r w:rsidRPr="000A3C50">
        <w:rPr>
          <w:i/>
          <w:iCs/>
          <w:lang w:val="nl-NL"/>
        </w:rPr>
        <w:t xml:space="preserve">nh </w:t>
      </w:r>
      <w:r w:rsidR="00677782" w:rsidRPr="000A3C50">
        <w:rPr>
          <w:i/>
          <w:iCs/>
          <w:lang w:val="nl-NL"/>
        </w:rPr>
        <w:t>sửa đổi, bổ sung</w:t>
      </w:r>
      <w:r w:rsidR="00A53F64">
        <w:rPr>
          <w:i/>
          <w:iCs/>
          <w:lang w:val="nl-NL"/>
        </w:rPr>
        <w:t xml:space="preserve"> một số điều của</w:t>
      </w:r>
      <w:r w:rsidR="00677782" w:rsidRPr="000A3C50">
        <w:rPr>
          <w:i/>
          <w:iCs/>
          <w:lang w:val="nl-NL"/>
        </w:rPr>
        <w:t xml:space="preserve"> </w:t>
      </w:r>
      <w:r w:rsidR="003A6BFA">
        <w:rPr>
          <w:i/>
          <w:iCs/>
          <w:lang w:val="nl-NL"/>
        </w:rPr>
        <w:t xml:space="preserve">Quy định kèm theo </w:t>
      </w:r>
      <w:r w:rsidR="00677782" w:rsidRPr="000A3C50">
        <w:rPr>
          <w:i/>
          <w:iCs/>
          <w:lang w:val="nl-NL"/>
        </w:rPr>
        <w:t>Quyết định số 46/2025/QĐ-CTUBND ngày 01/12/2025 của Chủ tịch Ủy ban nhân dân tỉnh</w:t>
      </w:r>
      <w:r w:rsidR="00CC635E">
        <w:rPr>
          <w:i/>
          <w:iCs/>
          <w:lang w:val="nl-NL"/>
        </w:rPr>
        <w:t xml:space="preserve"> </w:t>
      </w:r>
      <w:r w:rsidR="00CC635E" w:rsidRPr="00CC635E">
        <w:rPr>
          <w:i/>
          <w:iCs/>
          <w:lang w:val="nl-NL"/>
        </w:rPr>
        <w:t>ban hành Quy định phân cấp thẩm quyền quyết định trong quản lý, sử dụng tài sản công của các cơ quan, tổ chức, đơn vị trên địa bàn tỉnh Tây Ninh</w:t>
      </w:r>
      <w:r w:rsidRPr="000A3C50">
        <w:rPr>
          <w:i/>
          <w:iCs/>
          <w:lang w:val="nl-NL"/>
        </w:rPr>
        <w:t>.</w:t>
      </w:r>
    </w:p>
    <w:p w:rsidR="004970DE" w:rsidRDefault="00EA4F09" w:rsidP="00AC3986">
      <w:pPr>
        <w:widowControl w:val="0"/>
        <w:shd w:val="clear" w:color="auto" w:fill="FFFFFF"/>
        <w:spacing w:after="120" w:line="264" w:lineRule="auto"/>
        <w:ind w:firstLine="680"/>
        <w:jc w:val="both"/>
      </w:pPr>
      <w:r w:rsidRPr="000A3C50">
        <w:rPr>
          <w:rFonts w:eastAsia="Times New Roman"/>
          <w:b/>
          <w:bCs/>
          <w:lang w:val="nl-NL"/>
        </w:rPr>
        <w:t>Điều 1.</w:t>
      </w:r>
      <w:r w:rsidRPr="000A3C50">
        <w:rPr>
          <w:rFonts w:eastAsia="Times New Roman"/>
          <w:b/>
          <w:lang w:val="nl-NL"/>
        </w:rPr>
        <w:t> </w:t>
      </w:r>
      <w:r w:rsidR="00EA47DC" w:rsidRPr="000A3C50">
        <w:rPr>
          <w:rFonts w:eastAsia="Times New Roman"/>
          <w:lang w:val="nl-NL"/>
        </w:rPr>
        <w:t xml:space="preserve">Sửa đổi, bổ sung </w:t>
      </w:r>
      <w:r w:rsidR="005E183A">
        <w:rPr>
          <w:rFonts w:eastAsia="Times New Roman"/>
          <w:lang w:val="nl-NL"/>
        </w:rPr>
        <w:t>một số điều của</w:t>
      </w:r>
      <w:r w:rsidR="00EA47DC" w:rsidRPr="000A3C50">
        <w:rPr>
          <w:rFonts w:eastAsia="Times New Roman"/>
          <w:lang w:val="nl-NL"/>
        </w:rPr>
        <w:t xml:space="preserve"> </w:t>
      </w:r>
      <w:r w:rsidR="00EA47DC" w:rsidRPr="000A3C50">
        <w:rPr>
          <w:bCs/>
        </w:rPr>
        <w:t xml:space="preserve">Quy định kèm theo </w:t>
      </w:r>
      <w:r w:rsidR="00EA47DC" w:rsidRPr="000A3C50">
        <w:t xml:space="preserve">Quyết định số 46/2025/QĐ-CTUBND ngày 01/12/2025 của Chủ tịch </w:t>
      </w:r>
      <w:r w:rsidR="005E183A">
        <w:t>Ủy ban nhân dân</w:t>
      </w:r>
      <w:r w:rsidR="00EA47DC" w:rsidRPr="000A3C50">
        <w:t xml:space="preserve"> tỉnh</w:t>
      </w:r>
      <w:r w:rsidR="005E183A">
        <w:t xml:space="preserve"> </w:t>
      </w:r>
      <w:r w:rsidR="005E183A" w:rsidRPr="005E183A">
        <w:t>ban hành Quy định phân cấp thẩm quyền quyết định trong quản lý, sử dụng tài sản công của các cơ quan, tổ chức, đơn vị trên địa bàn tỉnh Tây Ninh</w:t>
      </w:r>
    </w:p>
    <w:p w:rsidR="005E183A" w:rsidRPr="005E183A" w:rsidRDefault="005E183A" w:rsidP="00AC3986">
      <w:pPr>
        <w:pStyle w:val="ListParagraph"/>
        <w:widowControl w:val="0"/>
        <w:numPr>
          <w:ilvl w:val="0"/>
          <w:numId w:val="9"/>
        </w:numPr>
        <w:shd w:val="clear" w:color="auto" w:fill="FFFFFF"/>
        <w:tabs>
          <w:tab w:val="left" w:pos="993"/>
        </w:tabs>
        <w:spacing w:after="120" w:line="264" w:lineRule="auto"/>
        <w:ind w:left="0" w:firstLine="680"/>
        <w:contextualSpacing w:val="0"/>
        <w:jc w:val="both"/>
        <w:rPr>
          <w:rFonts w:eastAsia="Times New Roman"/>
          <w:lang w:val="nl-NL"/>
        </w:rPr>
      </w:pPr>
      <w:r>
        <w:rPr>
          <w:rFonts w:eastAsia="Times New Roman"/>
          <w:lang w:val="nl-NL"/>
        </w:rPr>
        <w:t xml:space="preserve">Sửa đổi, bổ sung khoản 1 Điều 8 </w:t>
      </w:r>
      <w:r w:rsidRPr="000A3C50">
        <w:rPr>
          <w:bCs/>
        </w:rPr>
        <w:t xml:space="preserve">Quy định kèm theo </w:t>
      </w:r>
      <w:r w:rsidRPr="000A3C50">
        <w:t>Quyết định số 46/2025/QĐ-CTUBND</w:t>
      </w:r>
      <w:r>
        <w:t xml:space="preserve"> như sau:</w:t>
      </w:r>
    </w:p>
    <w:p w:rsidR="005E183A" w:rsidRDefault="005E183A" w:rsidP="00AC3986">
      <w:pPr>
        <w:pStyle w:val="ListParagraph"/>
        <w:widowControl w:val="0"/>
        <w:shd w:val="clear" w:color="auto" w:fill="FFFFFF"/>
        <w:spacing w:after="120" w:line="264" w:lineRule="auto"/>
        <w:ind w:left="0" w:firstLine="680"/>
        <w:contextualSpacing w:val="0"/>
        <w:jc w:val="both"/>
        <w:rPr>
          <w:rFonts w:eastAsia="Times New Roman"/>
          <w:lang w:val="nl-NL"/>
        </w:rPr>
      </w:pPr>
      <w:r w:rsidRPr="005E183A">
        <w:rPr>
          <w:rFonts w:eastAsia="Times New Roman"/>
          <w:lang w:val="nl-NL"/>
        </w:rPr>
        <w:t>“</w:t>
      </w:r>
      <w:r>
        <w:rPr>
          <w:rFonts w:eastAsia="Times New Roman"/>
          <w:lang w:val="nl-NL"/>
        </w:rPr>
        <w:t>1. Chủ tịch Ủy ban nhân dân tỉnh quyết định:</w:t>
      </w:r>
    </w:p>
    <w:p w:rsidR="005E183A" w:rsidRDefault="005E183A" w:rsidP="00AC3986">
      <w:pPr>
        <w:pStyle w:val="ListParagraph"/>
        <w:widowControl w:val="0"/>
        <w:shd w:val="clear" w:color="auto" w:fill="FFFFFF"/>
        <w:spacing w:after="120" w:line="264" w:lineRule="auto"/>
        <w:ind w:left="0" w:firstLine="680"/>
        <w:contextualSpacing w:val="0"/>
        <w:jc w:val="both"/>
        <w:rPr>
          <w:rFonts w:eastAsia="Times New Roman"/>
          <w:lang w:val="nl-NL"/>
        </w:rPr>
      </w:pPr>
      <w:r w:rsidRPr="005E183A">
        <w:rPr>
          <w:rFonts w:eastAsia="Times New Roman"/>
          <w:lang w:val="nl-NL"/>
        </w:rPr>
        <w:t>Điều chuyển tài sản công là trụ sở làm việc, cơ sở hoạt động sự nghiệp; quyền sử dụng đất thuộc trụ sở làm việc, cơ sở hoạt động sự nghiệp, xe ô tô các loại giữa cơ quan, tổ chức, đơn vị cấp tỉnh và cấp xã và ngược lại; giữa cấp xã và cấp xã</w:t>
      </w:r>
      <w:r>
        <w:rPr>
          <w:rFonts w:eastAsia="Times New Roman"/>
          <w:lang w:val="nl-NL"/>
        </w:rPr>
        <w:t>”.</w:t>
      </w:r>
    </w:p>
    <w:p w:rsidR="005E183A" w:rsidRPr="005E183A" w:rsidRDefault="005E183A" w:rsidP="00AC3986">
      <w:pPr>
        <w:pStyle w:val="ListParagraph"/>
        <w:widowControl w:val="0"/>
        <w:numPr>
          <w:ilvl w:val="0"/>
          <w:numId w:val="9"/>
        </w:numPr>
        <w:shd w:val="clear" w:color="auto" w:fill="FFFFFF"/>
        <w:tabs>
          <w:tab w:val="left" w:pos="993"/>
        </w:tabs>
        <w:spacing w:after="120" w:line="264" w:lineRule="auto"/>
        <w:ind w:left="0" w:firstLine="680"/>
        <w:contextualSpacing w:val="0"/>
        <w:jc w:val="both"/>
        <w:rPr>
          <w:rFonts w:eastAsia="Times New Roman"/>
          <w:lang w:val="nl-NL"/>
        </w:rPr>
      </w:pPr>
      <w:r>
        <w:rPr>
          <w:rFonts w:eastAsia="Times New Roman"/>
          <w:lang w:val="nl-NL"/>
        </w:rPr>
        <w:t xml:space="preserve">Sửa đổi, bổ sung </w:t>
      </w:r>
      <w:r>
        <w:rPr>
          <w:rFonts w:eastAsia="Times New Roman"/>
          <w:lang w:val="nl-NL"/>
        </w:rPr>
        <w:t>Điều 9</w:t>
      </w:r>
      <w:r>
        <w:rPr>
          <w:rFonts w:eastAsia="Times New Roman"/>
          <w:lang w:val="nl-NL"/>
        </w:rPr>
        <w:t xml:space="preserve"> </w:t>
      </w:r>
      <w:r w:rsidRPr="000A3C50">
        <w:rPr>
          <w:bCs/>
        </w:rPr>
        <w:t xml:space="preserve">Quy định kèm theo </w:t>
      </w:r>
      <w:r w:rsidRPr="000A3C50">
        <w:t>Quyết định số 46/2025/QĐ-CTUBND</w:t>
      </w:r>
      <w:r>
        <w:t xml:space="preserve"> như sau</w:t>
      </w:r>
      <w:r>
        <w:t>:</w:t>
      </w:r>
    </w:p>
    <w:p w:rsidR="005E183A" w:rsidRPr="005E183A" w:rsidRDefault="005E183A" w:rsidP="00AC3986">
      <w:pPr>
        <w:widowControl w:val="0"/>
        <w:pBdr>
          <w:top w:val="single" w:sz="4" w:space="0" w:color="FFFFFF"/>
          <w:left w:val="single" w:sz="4" w:space="0" w:color="FFFFFF"/>
          <w:bottom w:val="single" w:sz="4" w:space="0" w:color="FFFFFF"/>
          <w:right w:val="single" w:sz="4" w:space="0" w:color="FFFFFF"/>
        </w:pBdr>
        <w:shd w:val="clear" w:color="auto" w:fill="FFFFFF"/>
        <w:spacing w:before="60" w:after="120" w:line="264" w:lineRule="auto"/>
        <w:ind w:firstLine="680"/>
        <w:jc w:val="both"/>
      </w:pPr>
      <w:r w:rsidRPr="005E183A">
        <w:rPr>
          <w:bCs/>
          <w:color w:val="000000"/>
        </w:rPr>
        <w:t>“Điều 9.</w:t>
      </w:r>
      <w:r w:rsidRPr="005E183A">
        <w:rPr>
          <w:color w:val="000000"/>
        </w:rPr>
        <w:t> </w:t>
      </w:r>
      <w:r w:rsidRPr="005E183A">
        <w:rPr>
          <w:bCs/>
          <w:color w:val="000000"/>
        </w:rPr>
        <w:t xml:space="preserve">Thẩm quyền quyết định bán tài sản công là tài sản cố định </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pPr>
      <w:r w:rsidRPr="005E183A">
        <w:rPr>
          <w:color w:val="000000"/>
          <w:sz w:val="28"/>
          <w:szCs w:val="28"/>
        </w:rPr>
        <w:t xml:space="preserve">1. Cơ quan thực hiện nhiệm vụ quản lý tài sản công cấp tỉnh (Sở Tài chính) quyết định bán xe ô tô các loại </w:t>
      </w:r>
      <w:r w:rsidRPr="005E183A">
        <w:rPr>
          <w:iCs/>
          <w:color w:val="000000"/>
          <w:sz w:val="28"/>
          <w:szCs w:val="28"/>
        </w:rPr>
        <w:t>(trừ xe ô tô của đơn vị sự nghiệp công lập tự đảm bảo chi thường xuyên và chi đầu tư)</w:t>
      </w:r>
      <w:r w:rsidRPr="005E183A">
        <w:rPr>
          <w:color w:val="000000"/>
          <w:sz w:val="28"/>
          <w:szCs w:val="28"/>
        </w:rPr>
        <w:t>.</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pPr>
      <w:r w:rsidRPr="005E183A">
        <w:rPr>
          <w:color w:val="000000"/>
          <w:sz w:val="28"/>
          <w:szCs w:val="28"/>
        </w:rPr>
        <w:t xml:space="preserve">2. Cơ quan, tổ chức, đơn vị cấp tỉnh </w:t>
      </w:r>
      <w:r w:rsidRPr="005E183A">
        <w:rPr>
          <w:iCs/>
          <w:color w:val="000000"/>
          <w:sz w:val="28"/>
          <w:szCs w:val="28"/>
        </w:rPr>
        <w:t>(trừ đơn vị sự nghiệp công lập tự đảm bảo chi thường xuyên và chi đầu tư)</w:t>
      </w:r>
      <w:r w:rsidRPr="005E183A">
        <w:rPr>
          <w:color w:val="000000"/>
          <w:sz w:val="28"/>
          <w:szCs w:val="28"/>
        </w:rPr>
        <w:t xml:space="preserve"> quyết định bán tài sản công là tài sản cố định tại đơn vị mình và tại các cơ quan, tổ chức, đơn vị thuộc phạm vi quản lý (trừ khoản 1 Điều này)</w:t>
      </w:r>
      <w:r w:rsidRPr="005E183A">
        <w:rPr>
          <w:iCs/>
          <w:color w:val="000000"/>
          <w:sz w:val="28"/>
          <w:szCs w:val="28"/>
        </w:rPr>
        <w:t>.</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rPr>
          <w:iCs/>
          <w:color w:val="000000"/>
          <w:sz w:val="28"/>
          <w:szCs w:val="28"/>
        </w:rPr>
      </w:pPr>
      <w:r w:rsidRPr="005E183A">
        <w:rPr>
          <w:color w:val="000000"/>
          <w:sz w:val="28"/>
          <w:szCs w:val="28"/>
        </w:rPr>
        <w:t xml:space="preserve">3. Chủ tịch Ủy ban nhân dân cấp xã quyết định bán tài sản công là tài sản cố định của các cơ quan, tổ chức, đơn vị thuộc phạm vi quản lý </w:t>
      </w:r>
      <w:r w:rsidRPr="005E183A">
        <w:rPr>
          <w:iCs/>
          <w:color w:val="000000"/>
          <w:sz w:val="28"/>
          <w:szCs w:val="28"/>
        </w:rPr>
        <w:t>(trừ khoản 1 Điều này)”.</w:t>
      </w:r>
    </w:p>
    <w:p w:rsidR="005E183A" w:rsidRDefault="005E183A" w:rsidP="00AC3986">
      <w:pPr>
        <w:pStyle w:val="ListParagraph"/>
        <w:widowControl w:val="0"/>
        <w:shd w:val="clear" w:color="auto" w:fill="FFFFFF"/>
        <w:spacing w:after="120" w:line="264" w:lineRule="auto"/>
        <w:ind w:left="0" w:firstLine="680"/>
        <w:contextualSpacing w:val="0"/>
        <w:jc w:val="both"/>
      </w:pPr>
      <w:r>
        <w:rPr>
          <w:rFonts w:eastAsia="Times New Roman"/>
          <w:lang w:val="nl-NL"/>
        </w:rPr>
        <w:t xml:space="preserve">3. </w:t>
      </w:r>
      <w:r>
        <w:rPr>
          <w:rFonts w:eastAsia="Times New Roman"/>
          <w:lang w:val="nl-NL"/>
        </w:rPr>
        <w:t xml:space="preserve">Sửa đổi, bổ sung Điều </w:t>
      </w:r>
      <w:r>
        <w:rPr>
          <w:rFonts w:eastAsia="Times New Roman"/>
          <w:lang w:val="nl-NL"/>
        </w:rPr>
        <w:t>10</w:t>
      </w:r>
      <w:r>
        <w:rPr>
          <w:rFonts w:eastAsia="Times New Roman"/>
          <w:lang w:val="nl-NL"/>
        </w:rPr>
        <w:t xml:space="preserve"> </w:t>
      </w:r>
      <w:r w:rsidRPr="000A3C50">
        <w:rPr>
          <w:bCs/>
        </w:rPr>
        <w:t xml:space="preserve">Quy định kèm theo </w:t>
      </w:r>
      <w:r w:rsidRPr="000A3C50">
        <w:t>Quyết định số 46/2025/QĐ-CTUBND</w:t>
      </w:r>
      <w:r>
        <w:t xml:space="preserve"> như sau</w:t>
      </w:r>
      <w:r>
        <w:t>:</w:t>
      </w:r>
    </w:p>
    <w:p w:rsidR="005E183A" w:rsidRPr="005E183A" w:rsidRDefault="005E183A" w:rsidP="00AC3986">
      <w:pPr>
        <w:widowControl w:val="0"/>
        <w:pBdr>
          <w:top w:val="single" w:sz="4" w:space="0" w:color="FFFFFF"/>
          <w:left w:val="single" w:sz="4" w:space="0" w:color="FFFFFF"/>
          <w:bottom w:val="single" w:sz="4" w:space="0" w:color="FFFFFF"/>
          <w:right w:val="single" w:sz="4" w:space="0" w:color="FFFFFF"/>
        </w:pBdr>
        <w:shd w:val="clear" w:color="auto" w:fill="FFFFFF"/>
        <w:spacing w:before="60" w:after="120" w:line="264" w:lineRule="auto"/>
        <w:ind w:firstLine="680"/>
        <w:jc w:val="both"/>
      </w:pPr>
      <w:r w:rsidRPr="005E183A">
        <w:rPr>
          <w:bCs/>
          <w:color w:val="000000"/>
        </w:rPr>
        <w:lastRenderedPageBreak/>
        <w:t>“Điều 10.</w:t>
      </w:r>
      <w:r w:rsidRPr="005E183A">
        <w:rPr>
          <w:color w:val="000000"/>
        </w:rPr>
        <w:t> </w:t>
      </w:r>
      <w:r w:rsidRPr="005E183A">
        <w:rPr>
          <w:bCs/>
          <w:color w:val="000000"/>
        </w:rPr>
        <w:t xml:space="preserve">Thẩm quyền quyết định thanh lý tài sản công là tài sản cố định </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pPr>
      <w:r w:rsidRPr="005E183A">
        <w:rPr>
          <w:color w:val="000000"/>
          <w:sz w:val="28"/>
          <w:szCs w:val="28"/>
        </w:rPr>
        <w:t>1. Cơ quan thực hiện nhiệm vụ quản lý tài sản công cấp tỉnh (Sở Tài chính) quyết định thanh lý xe ô tô các loại (trừ xe ô tô của đơn vị sự nghiệp công lập tự đảm bảo chi thường xuyên và chi đầu tư).</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pPr>
      <w:r w:rsidRPr="005E183A">
        <w:rPr>
          <w:color w:val="000000"/>
          <w:sz w:val="28"/>
          <w:szCs w:val="28"/>
        </w:rPr>
        <w:t>2. Cơ quan, tổ chức, đơn vị cấp tỉnh có tài sản công quyết định thanh lý tài sản công là tài sản cố định tại đơn vị mình (trừ Khoản 1 Điều này)</w:t>
      </w:r>
      <w:r w:rsidRPr="005E183A">
        <w:rPr>
          <w:iCs/>
          <w:color w:val="000000"/>
          <w:sz w:val="28"/>
          <w:szCs w:val="28"/>
        </w:rPr>
        <w:t>.</w:t>
      </w:r>
    </w:p>
    <w:p w:rsidR="005E183A" w:rsidRPr="005E183A" w:rsidRDefault="005E183A" w:rsidP="00AC3986">
      <w:pPr>
        <w:pStyle w:val="NormalWeb"/>
        <w:widowControl w:val="0"/>
        <w:pBdr>
          <w:top w:val="single" w:sz="4" w:space="0" w:color="FFFFFF"/>
          <w:left w:val="single" w:sz="4" w:space="0" w:color="FFFFFF"/>
          <w:bottom w:val="single" w:sz="4" w:space="0" w:color="FFFFFF"/>
          <w:right w:val="single" w:sz="4" w:space="0" w:color="FFFFFF"/>
        </w:pBdr>
        <w:shd w:val="clear" w:color="auto" w:fill="FFFFFF"/>
        <w:spacing w:before="60" w:beforeAutospacing="0" w:after="120" w:afterAutospacing="0" w:line="264" w:lineRule="auto"/>
        <w:ind w:firstLine="680"/>
        <w:jc w:val="both"/>
      </w:pPr>
      <w:r w:rsidRPr="005E183A">
        <w:rPr>
          <w:color w:val="000000"/>
          <w:sz w:val="28"/>
          <w:szCs w:val="28"/>
        </w:rPr>
        <w:t xml:space="preserve">3. Chủ tịch Ủy ban nhân dân cấp xã quyết định thanh lý tài sản công là tài sản cố định của các cơ quan, tổ chức, đơn vị thuộc phạm vi quản lý </w:t>
      </w:r>
      <w:r w:rsidRPr="005E183A">
        <w:rPr>
          <w:iCs/>
          <w:color w:val="000000"/>
          <w:sz w:val="28"/>
          <w:szCs w:val="28"/>
          <w:shd w:val="clear" w:color="auto" w:fill="FFFFFF"/>
        </w:rPr>
        <w:t>(trừ khoản 1 Điều này)”</w:t>
      </w:r>
      <w:r w:rsidRPr="005E183A">
        <w:rPr>
          <w:iCs/>
          <w:color w:val="000000"/>
          <w:sz w:val="28"/>
          <w:szCs w:val="28"/>
        </w:rPr>
        <w:t>.</w:t>
      </w:r>
    </w:p>
    <w:p w:rsidR="005E183A" w:rsidRDefault="005E183A" w:rsidP="00AC3986">
      <w:pPr>
        <w:pStyle w:val="ListParagraph"/>
        <w:widowControl w:val="0"/>
        <w:shd w:val="clear" w:color="auto" w:fill="FFFFFF"/>
        <w:spacing w:after="120" w:line="264" w:lineRule="auto"/>
        <w:ind w:left="0" w:firstLine="680"/>
        <w:contextualSpacing w:val="0"/>
        <w:jc w:val="both"/>
      </w:pPr>
      <w:r>
        <w:rPr>
          <w:rFonts w:eastAsia="Times New Roman"/>
          <w:lang w:val="nl-NL"/>
        </w:rPr>
        <w:t xml:space="preserve">4. </w:t>
      </w:r>
      <w:r>
        <w:rPr>
          <w:rFonts w:eastAsia="Times New Roman"/>
          <w:lang w:val="nl-NL"/>
        </w:rPr>
        <w:t>Sửa đổi, bổ sung Điều 1</w:t>
      </w:r>
      <w:r>
        <w:rPr>
          <w:rFonts w:eastAsia="Times New Roman"/>
          <w:lang w:val="nl-NL"/>
        </w:rPr>
        <w:t>1</w:t>
      </w:r>
      <w:r>
        <w:rPr>
          <w:rFonts w:eastAsia="Times New Roman"/>
          <w:lang w:val="nl-NL"/>
        </w:rPr>
        <w:t xml:space="preserve"> </w:t>
      </w:r>
      <w:r w:rsidRPr="000A3C50">
        <w:rPr>
          <w:bCs/>
        </w:rPr>
        <w:t xml:space="preserve">Quy định kèm theo </w:t>
      </w:r>
      <w:r w:rsidRPr="000A3C50">
        <w:t>Quyết định số 46/2025/QĐ-CTUBND</w:t>
      </w:r>
      <w:r>
        <w:t xml:space="preserve"> như sau</w:t>
      </w:r>
      <w:r>
        <w:t>:</w:t>
      </w:r>
    </w:p>
    <w:p w:rsidR="00CE1CDC" w:rsidRPr="00CE1CDC" w:rsidRDefault="00CE1CDC" w:rsidP="00AC3986">
      <w:pPr>
        <w:widowControl w:val="0"/>
        <w:spacing w:before="60" w:after="120" w:line="264" w:lineRule="auto"/>
        <w:ind w:firstLine="706"/>
        <w:jc w:val="both"/>
      </w:pPr>
      <w:r w:rsidRPr="00CE1CDC">
        <w:t xml:space="preserve">“Điều 11. Thẩm quyền quyết định điều chuyển, bán vật tư, vật liệu thu hồi được trong quá trình bảo dưỡng, sửa chữa, thanh lý tài sản công </w:t>
      </w:r>
    </w:p>
    <w:p w:rsidR="00CE1CDC" w:rsidRPr="00CE1CDC" w:rsidRDefault="00CE1CDC" w:rsidP="00AC3986">
      <w:pPr>
        <w:widowControl w:val="0"/>
        <w:pBdr>
          <w:top w:val="single" w:sz="4" w:space="0" w:color="FFFFFF"/>
          <w:left w:val="single" w:sz="4" w:space="0" w:color="FFFFFF"/>
          <w:bottom w:val="single" w:sz="4" w:space="0" w:color="FFFFFF"/>
          <w:right w:val="single" w:sz="4" w:space="0" w:color="FFFFFF"/>
        </w:pBdr>
        <w:shd w:val="clear" w:color="auto" w:fill="FFFFFF"/>
        <w:spacing w:before="60" w:after="120" w:line="264" w:lineRule="auto"/>
        <w:ind w:firstLine="680"/>
        <w:jc w:val="both"/>
      </w:pPr>
      <w:r w:rsidRPr="00CE1CDC">
        <w:t>1. Cơ quan, tổ chức, đơn vị có tài sản công quyết định điều chuyển vật tư, vật liệu thu hồi được trong quá trình bảo dưỡng, sửa chữa, thanh lý tài sản tại đơn vị mình.</w:t>
      </w:r>
    </w:p>
    <w:p w:rsidR="00CE1CDC" w:rsidRPr="00CE1CDC" w:rsidRDefault="00CE1CDC" w:rsidP="00AC3986">
      <w:pPr>
        <w:widowControl w:val="0"/>
        <w:spacing w:before="60" w:after="120" w:line="264" w:lineRule="auto"/>
        <w:ind w:firstLine="706"/>
        <w:jc w:val="both"/>
      </w:pPr>
      <w:r w:rsidRPr="00CE1CDC">
        <w:rPr>
          <w:bCs/>
        </w:rPr>
        <w:t xml:space="preserve">2. Cơ quan, tổ chức, đơn vị có tài sản công (trừ đơn vị sự nghiệp công lập tự đảm bảo chi thường xuyên và chi đầu tư) </w:t>
      </w:r>
      <w:r w:rsidRPr="00CE1CDC">
        <w:t>quyết định bán vật tư, vật liệu thu hồi được trong quá trình bảo dưỡng, sửa chữa, thanh lý tài sản tại đơn vị mình”.</w:t>
      </w:r>
    </w:p>
    <w:p w:rsidR="005E183A" w:rsidRDefault="00CC34C3" w:rsidP="00AC3986">
      <w:pPr>
        <w:pStyle w:val="ListParagraph"/>
        <w:widowControl w:val="0"/>
        <w:shd w:val="clear" w:color="auto" w:fill="FFFFFF"/>
        <w:spacing w:after="120" w:line="264" w:lineRule="auto"/>
        <w:ind w:left="0" w:firstLine="680"/>
        <w:contextualSpacing w:val="0"/>
        <w:jc w:val="both"/>
      </w:pPr>
      <w:r>
        <w:rPr>
          <w:rFonts w:eastAsia="Times New Roman"/>
          <w:lang w:val="nl-NL"/>
        </w:rPr>
        <w:t xml:space="preserve">5. </w:t>
      </w:r>
      <w:r>
        <w:rPr>
          <w:rFonts w:eastAsia="Times New Roman"/>
          <w:lang w:val="nl-NL"/>
        </w:rPr>
        <w:t xml:space="preserve">Sửa đổi, bổ sung Điều </w:t>
      </w:r>
      <w:r>
        <w:rPr>
          <w:rFonts w:eastAsia="Times New Roman"/>
          <w:lang w:val="nl-NL"/>
        </w:rPr>
        <w:t>15</w:t>
      </w:r>
      <w:r>
        <w:rPr>
          <w:rFonts w:eastAsia="Times New Roman"/>
          <w:lang w:val="nl-NL"/>
        </w:rPr>
        <w:t xml:space="preserve"> </w:t>
      </w:r>
      <w:r w:rsidRPr="000A3C50">
        <w:rPr>
          <w:bCs/>
        </w:rPr>
        <w:t xml:space="preserve">Quy định kèm theo </w:t>
      </w:r>
      <w:r w:rsidRPr="000A3C50">
        <w:t>Quyết định số 46/2025/QĐ-CTUBND</w:t>
      </w:r>
      <w:r>
        <w:t xml:space="preserve"> như sau</w:t>
      </w:r>
      <w:r>
        <w:t>:</w:t>
      </w:r>
    </w:p>
    <w:p w:rsidR="00CC34C3" w:rsidRPr="00CC34C3" w:rsidRDefault="00CC34C3" w:rsidP="00AC3986">
      <w:pPr>
        <w:widowControl w:val="0"/>
        <w:spacing w:before="60" w:after="120" w:line="264" w:lineRule="auto"/>
        <w:ind w:firstLine="706"/>
        <w:jc w:val="both"/>
        <w:rPr>
          <w:bCs/>
        </w:rPr>
      </w:pPr>
      <w:r w:rsidRPr="00CC34C3">
        <w:rPr>
          <w:bCs/>
        </w:rPr>
        <w:t xml:space="preserve">“Điều 15. Thẩm quyền phê duyệt đề án sử dụng tài sản công tại đơn vị sự nghiệp công lập vào mục đích kinh doanh, cho thuê, liên doanh, liên kết </w:t>
      </w:r>
    </w:p>
    <w:p w:rsidR="00CC34C3" w:rsidRPr="00CC34C3" w:rsidRDefault="00CC34C3" w:rsidP="00AC3986">
      <w:pPr>
        <w:widowControl w:val="0"/>
        <w:spacing w:before="60" w:after="120" w:line="264" w:lineRule="auto"/>
        <w:ind w:firstLine="706"/>
        <w:jc w:val="both"/>
        <w:rPr>
          <w:bCs/>
        </w:rPr>
      </w:pPr>
      <w:r w:rsidRPr="00CC34C3">
        <w:rPr>
          <w:bCs/>
        </w:rPr>
        <w:t>1. Đơn vị sự nghiệp công lập trực thuộc Ủy ban nhân dân cấp tỉnh quyết định phê duyệt Đề án sử dụng tài sản công vào mục đích kinh doanh, cho thuê, liên doanh, liên kết của đơn vị mình và đơn vị sự nghiệp công lập trực thuộc.</w:t>
      </w:r>
    </w:p>
    <w:p w:rsidR="00CC34C3" w:rsidRPr="00CC34C3" w:rsidRDefault="00CC34C3" w:rsidP="00AC3986">
      <w:pPr>
        <w:widowControl w:val="0"/>
        <w:spacing w:before="60" w:after="120" w:line="264" w:lineRule="auto"/>
        <w:ind w:firstLine="706"/>
        <w:jc w:val="both"/>
        <w:rPr>
          <w:bCs/>
        </w:rPr>
      </w:pPr>
      <w:r w:rsidRPr="00CC34C3">
        <w:rPr>
          <w:bCs/>
        </w:rPr>
        <w:t>2. Cơ quan, tổ chức cấp tỉnh; Chủ tịch Ủy ban nhân dân cấp xã quyết định phê duyệt Đề án sử dụng tài sản công vào mục đích kinh doanh, cho thuê, liên doanh, liên kết của các đơn vị sự nghiệp công lập trực thuộc”.</w:t>
      </w:r>
    </w:p>
    <w:p w:rsidR="004970DE" w:rsidRPr="000A3C50" w:rsidRDefault="00EA4F09" w:rsidP="00AC3986">
      <w:pPr>
        <w:widowControl w:val="0"/>
        <w:shd w:val="clear" w:color="auto" w:fill="FFFFFF"/>
        <w:spacing w:after="120" w:line="264" w:lineRule="auto"/>
        <w:ind w:firstLine="680"/>
        <w:jc w:val="both"/>
        <w:rPr>
          <w:lang w:val="nl-NL"/>
        </w:rPr>
      </w:pPr>
      <w:r w:rsidRPr="000A3C50">
        <w:rPr>
          <w:b/>
          <w:lang w:val="nl-NL"/>
        </w:rPr>
        <w:t>Đi</w:t>
      </w:r>
      <w:r w:rsidRPr="000A3C50">
        <w:rPr>
          <w:b/>
          <w:lang w:val="nl-NL"/>
        </w:rPr>
        <w:t>ề</w:t>
      </w:r>
      <w:r w:rsidRPr="000A3C50">
        <w:rPr>
          <w:b/>
          <w:lang w:val="nl-NL"/>
        </w:rPr>
        <w:t xml:space="preserve">u 2. </w:t>
      </w:r>
      <w:r w:rsidRPr="000A3C50">
        <w:rPr>
          <w:lang w:val="nl-NL"/>
        </w:rPr>
        <w:t>Giao S</w:t>
      </w:r>
      <w:r w:rsidRPr="000A3C50">
        <w:rPr>
          <w:lang w:val="nl-NL"/>
        </w:rPr>
        <w:t>ở</w:t>
      </w:r>
      <w:r w:rsidRPr="000A3C50">
        <w:rPr>
          <w:lang w:val="nl-NL"/>
        </w:rPr>
        <w:t xml:space="preserve"> Tài chính ch</w:t>
      </w:r>
      <w:r w:rsidRPr="000A3C50">
        <w:rPr>
          <w:lang w:val="nl-NL"/>
        </w:rPr>
        <w:t>ủ</w:t>
      </w:r>
      <w:r w:rsidRPr="000A3C50">
        <w:rPr>
          <w:lang w:val="nl-NL"/>
        </w:rPr>
        <w:t xml:space="preserve"> trì, ph</w:t>
      </w:r>
      <w:r w:rsidRPr="000A3C50">
        <w:rPr>
          <w:lang w:val="nl-NL"/>
        </w:rPr>
        <w:t>ố</w:t>
      </w:r>
      <w:r w:rsidRPr="000A3C50">
        <w:rPr>
          <w:lang w:val="nl-NL"/>
        </w:rPr>
        <w:t>i h</w:t>
      </w:r>
      <w:r w:rsidRPr="000A3C50">
        <w:rPr>
          <w:lang w:val="nl-NL"/>
        </w:rPr>
        <w:t>ợ</w:t>
      </w:r>
      <w:r w:rsidRPr="000A3C50">
        <w:rPr>
          <w:lang w:val="nl-NL"/>
        </w:rPr>
        <w:t>p v</w:t>
      </w:r>
      <w:r w:rsidRPr="000A3C50">
        <w:rPr>
          <w:lang w:val="nl-NL"/>
        </w:rPr>
        <w:t>ớ</w:t>
      </w:r>
      <w:r w:rsidRPr="000A3C50">
        <w:rPr>
          <w:lang w:val="nl-NL"/>
        </w:rPr>
        <w:t>i các cơ quan liên quan t</w:t>
      </w:r>
      <w:r w:rsidRPr="000A3C50">
        <w:rPr>
          <w:lang w:val="nl-NL"/>
        </w:rPr>
        <w:t>ổ</w:t>
      </w:r>
      <w:r w:rsidRPr="000A3C50">
        <w:rPr>
          <w:lang w:val="nl-NL"/>
        </w:rPr>
        <w:t xml:space="preserve"> ch</w:t>
      </w:r>
      <w:r w:rsidRPr="000A3C50">
        <w:rPr>
          <w:lang w:val="nl-NL"/>
        </w:rPr>
        <w:t>ứ</w:t>
      </w:r>
      <w:r w:rsidRPr="000A3C50">
        <w:rPr>
          <w:lang w:val="nl-NL"/>
        </w:rPr>
        <w:t>c tri</w:t>
      </w:r>
      <w:r w:rsidRPr="000A3C50">
        <w:rPr>
          <w:lang w:val="nl-NL"/>
        </w:rPr>
        <w:t>ể</w:t>
      </w:r>
      <w:r w:rsidRPr="000A3C50">
        <w:rPr>
          <w:lang w:val="nl-NL"/>
        </w:rPr>
        <w:t>n khai, theo dõi, ki</w:t>
      </w:r>
      <w:r w:rsidRPr="000A3C50">
        <w:rPr>
          <w:lang w:val="nl-NL"/>
        </w:rPr>
        <w:t>ể</w:t>
      </w:r>
      <w:r w:rsidRPr="000A3C50">
        <w:rPr>
          <w:lang w:val="nl-NL"/>
        </w:rPr>
        <w:t>m tra vi</w:t>
      </w:r>
      <w:r w:rsidRPr="000A3C50">
        <w:rPr>
          <w:lang w:val="nl-NL"/>
        </w:rPr>
        <w:t>ệ</w:t>
      </w:r>
      <w:r w:rsidRPr="000A3C50">
        <w:rPr>
          <w:lang w:val="nl-NL"/>
        </w:rPr>
        <w:t>c th</w:t>
      </w:r>
      <w:r w:rsidRPr="000A3C50">
        <w:rPr>
          <w:lang w:val="nl-NL"/>
        </w:rPr>
        <w:t>ự</w:t>
      </w:r>
      <w:r w:rsidRPr="000A3C50">
        <w:rPr>
          <w:lang w:val="nl-NL"/>
        </w:rPr>
        <w:t>c hi</w:t>
      </w:r>
      <w:r w:rsidRPr="000A3C50">
        <w:rPr>
          <w:lang w:val="nl-NL"/>
        </w:rPr>
        <w:t>ệ</w:t>
      </w:r>
      <w:r w:rsidRPr="000A3C50">
        <w:rPr>
          <w:lang w:val="nl-NL"/>
        </w:rPr>
        <w:t>n quy</w:t>
      </w:r>
      <w:r w:rsidRPr="000A3C50">
        <w:rPr>
          <w:lang w:val="nl-NL"/>
        </w:rPr>
        <w:t>ế</w:t>
      </w:r>
      <w:r w:rsidRPr="000A3C50">
        <w:rPr>
          <w:lang w:val="nl-NL"/>
        </w:rPr>
        <w:t>t đ</w:t>
      </w:r>
      <w:r w:rsidRPr="000A3C50">
        <w:rPr>
          <w:lang w:val="nl-NL"/>
        </w:rPr>
        <w:t>ị</w:t>
      </w:r>
      <w:r w:rsidRPr="000A3C50">
        <w:rPr>
          <w:lang w:val="nl-NL"/>
        </w:rPr>
        <w:t>nh này.</w:t>
      </w:r>
    </w:p>
    <w:p w:rsidR="004970DE" w:rsidRPr="000A3C50" w:rsidRDefault="00EA4F09" w:rsidP="00AC3986">
      <w:pPr>
        <w:widowControl w:val="0"/>
        <w:spacing w:after="120" w:line="264" w:lineRule="auto"/>
        <w:ind w:firstLine="680"/>
        <w:jc w:val="both"/>
        <w:rPr>
          <w:b/>
          <w:lang w:val="it-IT"/>
        </w:rPr>
      </w:pPr>
      <w:r w:rsidRPr="000A3C50">
        <w:rPr>
          <w:b/>
          <w:lang w:val="it-IT"/>
        </w:rPr>
        <w:t>Đi</w:t>
      </w:r>
      <w:r w:rsidRPr="000A3C50">
        <w:rPr>
          <w:b/>
          <w:lang w:val="it-IT"/>
        </w:rPr>
        <w:t>ề</w:t>
      </w:r>
      <w:r w:rsidRPr="000A3C50">
        <w:rPr>
          <w:b/>
          <w:lang w:val="it-IT"/>
        </w:rPr>
        <w:t xml:space="preserve">u </w:t>
      </w:r>
      <w:r w:rsidRPr="000A3C50">
        <w:rPr>
          <w:b/>
          <w:lang w:val="it-IT"/>
        </w:rPr>
        <w:t xml:space="preserve">3. </w:t>
      </w:r>
      <w:r w:rsidRPr="000A3C50">
        <w:rPr>
          <w:lang w:val="nl-NL"/>
        </w:rPr>
        <w:t>Đi</w:t>
      </w:r>
      <w:r w:rsidRPr="000A3C50">
        <w:rPr>
          <w:lang w:val="nl-NL"/>
        </w:rPr>
        <w:t>ề</w:t>
      </w:r>
      <w:r w:rsidRPr="000A3C50">
        <w:rPr>
          <w:lang w:val="nl-NL"/>
        </w:rPr>
        <w:t>u kho</w:t>
      </w:r>
      <w:r w:rsidRPr="000A3C50">
        <w:rPr>
          <w:lang w:val="nl-NL"/>
        </w:rPr>
        <w:t>ả</w:t>
      </w:r>
      <w:r w:rsidRPr="000A3C50">
        <w:rPr>
          <w:lang w:val="nl-NL"/>
        </w:rPr>
        <w:t>n thi hành</w:t>
      </w:r>
    </w:p>
    <w:p w:rsidR="00060260" w:rsidRDefault="00EA4F09" w:rsidP="00AC3986">
      <w:pPr>
        <w:widowControl w:val="0"/>
        <w:spacing w:after="120" w:line="264" w:lineRule="auto"/>
        <w:ind w:firstLine="680"/>
        <w:jc w:val="both"/>
        <w:rPr>
          <w:lang w:val="it-IT"/>
        </w:rPr>
      </w:pPr>
      <w:r w:rsidRPr="000A3C50">
        <w:rPr>
          <w:lang w:val="it-IT"/>
        </w:rPr>
        <w:t>1. Quy</w:t>
      </w:r>
      <w:r w:rsidRPr="000A3C50">
        <w:rPr>
          <w:lang w:val="it-IT"/>
        </w:rPr>
        <w:t>ế</w:t>
      </w:r>
      <w:r w:rsidRPr="000A3C50">
        <w:rPr>
          <w:lang w:val="it-IT"/>
        </w:rPr>
        <w:t>t đ</w:t>
      </w:r>
      <w:r w:rsidRPr="000A3C50">
        <w:rPr>
          <w:lang w:val="it-IT"/>
        </w:rPr>
        <w:t>ị</w:t>
      </w:r>
      <w:r w:rsidRPr="000A3C50">
        <w:rPr>
          <w:lang w:val="it-IT"/>
        </w:rPr>
        <w:t>nh này có hi</w:t>
      </w:r>
      <w:r w:rsidRPr="000A3C50">
        <w:rPr>
          <w:lang w:val="it-IT"/>
        </w:rPr>
        <w:t>ệ</w:t>
      </w:r>
      <w:r w:rsidRPr="000A3C50">
        <w:rPr>
          <w:lang w:val="it-IT"/>
        </w:rPr>
        <w:t>u l</w:t>
      </w:r>
      <w:r w:rsidRPr="000A3C50">
        <w:rPr>
          <w:lang w:val="it-IT"/>
        </w:rPr>
        <w:t>ự</w:t>
      </w:r>
      <w:r w:rsidRPr="000A3C50">
        <w:rPr>
          <w:lang w:val="it-IT"/>
        </w:rPr>
        <w:t>c thi hành k</w:t>
      </w:r>
      <w:r w:rsidRPr="000A3C50">
        <w:rPr>
          <w:lang w:val="it-IT"/>
        </w:rPr>
        <w:t>ể</w:t>
      </w:r>
      <w:r w:rsidRPr="000A3C50">
        <w:rPr>
          <w:lang w:val="it-IT"/>
        </w:rPr>
        <w:t xml:space="preserve"> t</w:t>
      </w:r>
      <w:r w:rsidRPr="000A3C50">
        <w:rPr>
          <w:lang w:val="it-IT"/>
        </w:rPr>
        <w:t>ừ</w:t>
      </w:r>
      <w:r w:rsidRPr="000A3C50">
        <w:rPr>
          <w:lang w:val="it-IT"/>
        </w:rPr>
        <w:t xml:space="preserve"> ngày      /</w:t>
      </w:r>
      <w:r w:rsidR="00060260">
        <w:rPr>
          <w:lang w:val="it-IT"/>
        </w:rPr>
        <w:t xml:space="preserve">     </w:t>
      </w:r>
      <w:r w:rsidRPr="000A3C50">
        <w:rPr>
          <w:lang w:val="it-IT"/>
        </w:rPr>
        <w:t>/202</w:t>
      </w:r>
      <w:r w:rsidR="00060260">
        <w:rPr>
          <w:lang w:val="it-IT"/>
        </w:rPr>
        <w:t>6</w:t>
      </w:r>
      <w:r w:rsidRPr="000A3C50">
        <w:rPr>
          <w:lang w:val="it-IT"/>
        </w:rPr>
        <w:t xml:space="preserve">. </w:t>
      </w:r>
    </w:p>
    <w:p w:rsidR="004970DE" w:rsidRPr="000A3C50" w:rsidRDefault="00EA4F09" w:rsidP="00AC3986">
      <w:pPr>
        <w:widowControl w:val="0"/>
        <w:spacing w:after="120" w:line="264" w:lineRule="auto"/>
        <w:ind w:firstLine="680"/>
        <w:jc w:val="both"/>
        <w:rPr>
          <w:lang w:val="it-IT"/>
        </w:rPr>
      </w:pPr>
      <w:r w:rsidRPr="000A3C50">
        <w:rPr>
          <w:lang w:val="it-IT"/>
        </w:rPr>
        <w:t xml:space="preserve">2. Chánh Văn phòng </w:t>
      </w:r>
      <w:r w:rsidRPr="000A3C50">
        <w:rPr>
          <w:lang w:val="it-IT"/>
        </w:rPr>
        <w:t>Ủ</w:t>
      </w:r>
      <w:r w:rsidRPr="000A3C50">
        <w:rPr>
          <w:lang w:val="it-IT"/>
        </w:rPr>
        <w:t>y ban nhân dân t</w:t>
      </w:r>
      <w:r w:rsidRPr="000A3C50">
        <w:rPr>
          <w:lang w:val="it-IT"/>
        </w:rPr>
        <w:t>ỉ</w:t>
      </w:r>
      <w:r w:rsidRPr="000A3C50">
        <w:rPr>
          <w:lang w:val="it-IT"/>
        </w:rPr>
        <w:t>nh, Th</w:t>
      </w:r>
      <w:r w:rsidRPr="000A3C50">
        <w:rPr>
          <w:lang w:val="it-IT"/>
        </w:rPr>
        <w:t>ủ</w:t>
      </w:r>
      <w:r w:rsidRPr="000A3C50">
        <w:rPr>
          <w:lang w:val="it-IT"/>
        </w:rPr>
        <w:t xml:space="preserve"> trư</w:t>
      </w:r>
      <w:r w:rsidRPr="000A3C50">
        <w:rPr>
          <w:lang w:val="it-IT"/>
        </w:rPr>
        <w:t>ở</w:t>
      </w:r>
      <w:r w:rsidRPr="000A3C50">
        <w:rPr>
          <w:lang w:val="it-IT"/>
        </w:rPr>
        <w:t>ng các s</w:t>
      </w:r>
      <w:r w:rsidRPr="000A3C50">
        <w:rPr>
          <w:lang w:val="it-IT"/>
        </w:rPr>
        <w:t>ở</w:t>
      </w:r>
      <w:r w:rsidRPr="000A3C50">
        <w:rPr>
          <w:lang w:val="it-IT"/>
        </w:rPr>
        <w:t xml:space="preserve"> ngành, đoàn th</w:t>
      </w:r>
      <w:r w:rsidRPr="000A3C50">
        <w:rPr>
          <w:lang w:val="it-IT"/>
        </w:rPr>
        <w:t>ể</w:t>
      </w:r>
      <w:r w:rsidRPr="000A3C50">
        <w:rPr>
          <w:lang w:val="it-IT"/>
        </w:rPr>
        <w:t xml:space="preserve"> t</w:t>
      </w:r>
      <w:r w:rsidRPr="000A3C50">
        <w:rPr>
          <w:lang w:val="it-IT"/>
        </w:rPr>
        <w:t>ỉ</w:t>
      </w:r>
      <w:r w:rsidRPr="000A3C50">
        <w:rPr>
          <w:lang w:val="it-IT"/>
        </w:rPr>
        <w:t>nh, Ch</w:t>
      </w:r>
      <w:r w:rsidRPr="000A3C50">
        <w:rPr>
          <w:lang w:val="it-IT"/>
        </w:rPr>
        <w:t>ủ</w:t>
      </w:r>
      <w:r w:rsidRPr="000A3C50">
        <w:rPr>
          <w:lang w:val="it-IT"/>
        </w:rPr>
        <w:t xml:space="preserve"> t</w:t>
      </w:r>
      <w:r w:rsidRPr="000A3C50">
        <w:rPr>
          <w:lang w:val="it-IT"/>
        </w:rPr>
        <w:t>ị</w:t>
      </w:r>
      <w:r w:rsidRPr="000A3C50">
        <w:rPr>
          <w:lang w:val="it-IT"/>
        </w:rPr>
        <w:t xml:space="preserve">ch </w:t>
      </w:r>
      <w:r w:rsidRPr="000A3C50">
        <w:rPr>
          <w:lang w:val="it-IT"/>
        </w:rPr>
        <w:t>Ủ</w:t>
      </w:r>
      <w:r w:rsidRPr="000A3C50">
        <w:rPr>
          <w:lang w:val="it-IT"/>
        </w:rPr>
        <w:t>y ban nhân dân các xã, phư</w:t>
      </w:r>
      <w:r w:rsidRPr="000A3C50">
        <w:rPr>
          <w:lang w:val="it-IT"/>
        </w:rPr>
        <w:t>ờ</w:t>
      </w:r>
      <w:r w:rsidRPr="000A3C50">
        <w:rPr>
          <w:lang w:val="it-IT"/>
        </w:rPr>
        <w:t>ng và các t</w:t>
      </w:r>
      <w:r w:rsidRPr="000A3C50">
        <w:rPr>
          <w:lang w:val="it-IT"/>
        </w:rPr>
        <w:t>ổ</w:t>
      </w:r>
      <w:r w:rsidRPr="000A3C50">
        <w:rPr>
          <w:lang w:val="it-IT"/>
        </w:rPr>
        <w:t xml:space="preserve"> ch</w:t>
      </w:r>
      <w:r w:rsidRPr="000A3C50">
        <w:rPr>
          <w:lang w:val="it-IT"/>
        </w:rPr>
        <w:t>ứ</w:t>
      </w:r>
      <w:r w:rsidRPr="000A3C50">
        <w:rPr>
          <w:lang w:val="it-IT"/>
        </w:rPr>
        <w:t xml:space="preserve">c, cá nhân có liên </w:t>
      </w:r>
      <w:r w:rsidRPr="000A3C50">
        <w:rPr>
          <w:lang w:val="it-IT"/>
        </w:rPr>
        <w:lastRenderedPageBreak/>
        <w:t>quan ch</w:t>
      </w:r>
      <w:r w:rsidRPr="000A3C50">
        <w:rPr>
          <w:lang w:val="it-IT"/>
        </w:rPr>
        <w:t>ị</w:t>
      </w:r>
      <w:r w:rsidRPr="000A3C50">
        <w:rPr>
          <w:lang w:val="it-IT"/>
        </w:rPr>
        <w:t>u trác</w:t>
      </w:r>
      <w:r w:rsidRPr="000A3C50">
        <w:rPr>
          <w:lang w:val="it-IT"/>
        </w:rPr>
        <w:t>h nhi</w:t>
      </w:r>
      <w:r w:rsidRPr="000A3C50">
        <w:rPr>
          <w:lang w:val="it-IT"/>
        </w:rPr>
        <w:t>ệ</w:t>
      </w:r>
      <w:r w:rsidRPr="000A3C50">
        <w:rPr>
          <w:lang w:val="it-IT"/>
        </w:rPr>
        <w:t>m thi hành Quy</w:t>
      </w:r>
      <w:r w:rsidRPr="000A3C50">
        <w:rPr>
          <w:lang w:val="it-IT"/>
        </w:rPr>
        <w:t>ế</w:t>
      </w:r>
      <w:r w:rsidRPr="000A3C50">
        <w:rPr>
          <w:lang w:val="it-IT"/>
        </w:rPr>
        <w:t>t đ</w:t>
      </w:r>
      <w:r w:rsidRPr="000A3C50">
        <w:rPr>
          <w:lang w:val="it-IT"/>
        </w:rPr>
        <w:t>ị</w:t>
      </w:r>
      <w:r w:rsidRPr="000A3C50">
        <w:rPr>
          <w:lang w:val="it-IT"/>
        </w:rPr>
        <w:t>nh này.</w:t>
      </w:r>
      <w:bookmarkStart w:id="1" w:name="_GoBack"/>
      <w:bookmarkEnd w:id="1"/>
    </w:p>
    <w:p w:rsidR="004970DE" w:rsidRPr="000A3C50" w:rsidRDefault="00EA4F09" w:rsidP="00AC3986">
      <w:pPr>
        <w:widowControl w:val="0"/>
        <w:spacing w:after="120" w:line="264" w:lineRule="auto"/>
        <w:ind w:firstLine="680"/>
        <w:jc w:val="both"/>
        <w:rPr>
          <w:lang w:val="it-IT"/>
        </w:rPr>
      </w:pPr>
      <w:r w:rsidRPr="000A3C50">
        <w:rPr>
          <w:lang w:val="it-IT"/>
        </w:rPr>
        <w:t>3. Trong quá trình th</w:t>
      </w:r>
      <w:r w:rsidRPr="000A3C50">
        <w:rPr>
          <w:lang w:val="it-IT"/>
        </w:rPr>
        <w:t>ự</w:t>
      </w:r>
      <w:r w:rsidRPr="000A3C50">
        <w:rPr>
          <w:lang w:val="it-IT"/>
        </w:rPr>
        <w:t>c hi</w:t>
      </w:r>
      <w:r w:rsidRPr="000A3C50">
        <w:rPr>
          <w:lang w:val="it-IT"/>
        </w:rPr>
        <w:t>ệ</w:t>
      </w:r>
      <w:r w:rsidRPr="000A3C50">
        <w:rPr>
          <w:lang w:val="it-IT"/>
        </w:rPr>
        <w:t>n, n</w:t>
      </w:r>
      <w:r w:rsidRPr="000A3C50">
        <w:rPr>
          <w:lang w:val="it-IT"/>
        </w:rPr>
        <w:t>ế</w:t>
      </w:r>
      <w:r w:rsidRPr="000A3C50">
        <w:rPr>
          <w:lang w:val="it-IT"/>
        </w:rPr>
        <w:t>u có phát sinh vư</w:t>
      </w:r>
      <w:r w:rsidRPr="000A3C50">
        <w:rPr>
          <w:lang w:val="it-IT"/>
        </w:rPr>
        <w:t>ớ</w:t>
      </w:r>
      <w:r w:rsidRPr="000A3C50">
        <w:rPr>
          <w:lang w:val="it-IT"/>
        </w:rPr>
        <w:t>ng m</w:t>
      </w:r>
      <w:r w:rsidRPr="000A3C50">
        <w:rPr>
          <w:lang w:val="it-IT"/>
        </w:rPr>
        <w:t>ắ</w:t>
      </w:r>
      <w:r w:rsidRPr="000A3C50">
        <w:rPr>
          <w:lang w:val="it-IT"/>
        </w:rPr>
        <w:t>c đ</w:t>
      </w:r>
      <w:r w:rsidRPr="000A3C50">
        <w:rPr>
          <w:lang w:val="it-IT"/>
        </w:rPr>
        <w:t>ề</w:t>
      </w:r>
      <w:r w:rsidRPr="000A3C50">
        <w:rPr>
          <w:lang w:val="it-IT"/>
        </w:rPr>
        <w:t xml:space="preserve"> ngh</w:t>
      </w:r>
      <w:r w:rsidRPr="000A3C50">
        <w:rPr>
          <w:lang w:val="it-IT"/>
        </w:rPr>
        <w:t>ị</w:t>
      </w:r>
      <w:r w:rsidRPr="000A3C50">
        <w:rPr>
          <w:lang w:val="it-IT"/>
        </w:rPr>
        <w:t xml:space="preserve"> các cơ quan, t</w:t>
      </w:r>
      <w:r w:rsidRPr="000A3C50">
        <w:rPr>
          <w:lang w:val="it-IT"/>
        </w:rPr>
        <w:t>ổ</w:t>
      </w:r>
      <w:r w:rsidRPr="000A3C50">
        <w:rPr>
          <w:lang w:val="it-IT"/>
        </w:rPr>
        <w:t xml:space="preserve"> ch</w:t>
      </w:r>
      <w:r w:rsidRPr="000A3C50">
        <w:rPr>
          <w:lang w:val="it-IT"/>
        </w:rPr>
        <w:t>ứ</w:t>
      </w:r>
      <w:r w:rsidRPr="000A3C50">
        <w:rPr>
          <w:lang w:val="it-IT"/>
        </w:rPr>
        <w:t>c, đơn v</w:t>
      </w:r>
      <w:r w:rsidRPr="000A3C50">
        <w:rPr>
          <w:lang w:val="it-IT"/>
        </w:rPr>
        <w:t>ị</w:t>
      </w:r>
      <w:r w:rsidRPr="000A3C50">
        <w:rPr>
          <w:lang w:val="it-IT"/>
        </w:rPr>
        <w:t xml:space="preserve"> ph</w:t>
      </w:r>
      <w:r w:rsidRPr="000A3C50">
        <w:rPr>
          <w:lang w:val="it-IT"/>
        </w:rPr>
        <w:t>ả</w:t>
      </w:r>
      <w:r w:rsidRPr="000A3C50">
        <w:rPr>
          <w:lang w:val="it-IT"/>
        </w:rPr>
        <w:t>n ánh k</w:t>
      </w:r>
      <w:r w:rsidRPr="000A3C50">
        <w:rPr>
          <w:lang w:val="it-IT"/>
        </w:rPr>
        <w:t>ị</w:t>
      </w:r>
      <w:r w:rsidRPr="000A3C50">
        <w:rPr>
          <w:lang w:val="it-IT"/>
        </w:rPr>
        <w:t>p th</w:t>
      </w:r>
      <w:r w:rsidRPr="000A3C50">
        <w:rPr>
          <w:lang w:val="it-IT"/>
        </w:rPr>
        <w:t>ờ</w:t>
      </w:r>
      <w:r w:rsidRPr="000A3C50">
        <w:rPr>
          <w:lang w:val="it-IT"/>
        </w:rPr>
        <w:t>i v</w:t>
      </w:r>
      <w:r w:rsidRPr="000A3C50">
        <w:rPr>
          <w:lang w:val="it-IT"/>
        </w:rPr>
        <w:t>ề</w:t>
      </w:r>
      <w:r w:rsidRPr="000A3C50">
        <w:rPr>
          <w:lang w:val="it-IT"/>
        </w:rPr>
        <w:t xml:space="preserve"> S</w:t>
      </w:r>
      <w:r w:rsidRPr="000A3C50">
        <w:rPr>
          <w:lang w:val="it-IT"/>
        </w:rPr>
        <w:t>ở</w:t>
      </w:r>
      <w:r w:rsidRPr="000A3C50">
        <w:rPr>
          <w:lang w:val="it-IT"/>
        </w:rPr>
        <w:t xml:space="preserve"> Tài chính đ</w:t>
      </w:r>
      <w:r w:rsidRPr="000A3C50">
        <w:rPr>
          <w:lang w:val="it-IT"/>
        </w:rPr>
        <w:t>ể</w:t>
      </w:r>
      <w:r w:rsidRPr="000A3C50">
        <w:rPr>
          <w:lang w:val="it-IT"/>
        </w:rPr>
        <w:t xml:space="preserve"> t</w:t>
      </w:r>
      <w:r w:rsidRPr="000A3C50">
        <w:rPr>
          <w:lang w:val="it-IT"/>
        </w:rPr>
        <w:t>ổ</w:t>
      </w:r>
      <w:r w:rsidRPr="000A3C50">
        <w:rPr>
          <w:lang w:val="it-IT"/>
        </w:rPr>
        <w:t>ng h</w:t>
      </w:r>
      <w:r w:rsidRPr="000A3C50">
        <w:rPr>
          <w:lang w:val="it-IT"/>
        </w:rPr>
        <w:t>ợ</w:t>
      </w:r>
      <w:r w:rsidRPr="000A3C50">
        <w:rPr>
          <w:lang w:val="it-IT"/>
        </w:rPr>
        <w:t>p, báo cáo Ch</w:t>
      </w:r>
      <w:r w:rsidRPr="000A3C50">
        <w:rPr>
          <w:lang w:val="it-IT"/>
        </w:rPr>
        <w:t>ủ</w:t>
      </w:r>
      <w:r w:rsidRPr="000A3C50">
        <w:rPr>
          <w:lang w:val="it-IT"/>
        </w:rPr>
        <w:t xml:space="preserve"> t</w:t>
      </w:r>
      <w:r w:rsidRPr="000A3C50">
        <w:rPr>
          <w:lang w:val="it-IT"/>
        </w:rPr>
        <w:t>ị</w:t>
      </w:r>
      <w:r w:rsidRPr="000A3C50">
        <w:rPr>
          <w:lang w:val="it-IT"/>
        </w:rPr>
        <w:t xml:space="preserve">ch </w:t>
      </w:r>
      <w:r w:rsidRPr="000A3C50">
        <w:rPr>
          <w:lang w:val="it-IT"/>
        </w:rPr>
        <w:t>Ủ</w:t>
      </w:r>
      <w:r w:rsidRPr="000A3C50">
        <w:rPr>
          <w:lang w:val="it-IT"/>
        </w:rPr>
        <w:t>y ban nhân dân t</w:t>
      </w:r>
      <w:r w:rsidRPr="000A3C50">
        <w:rPr>
          <w:lang w:val="it-IT"/>
        </w:rPr>
        <w:t>ỉ</w:t>
      </w:r>
      <w:r w:rsidRPr="000A3C50">
        <w:rPr>
          <w:lang w:val="it-IT"/>
        </w:rPr>
        <w:t>nh xem xét, gi</w:t>
      </w:r>
      <w:r w:rsidRPr="000A3C50">
        <w:rPr>
          <w:lang w:val="it-IT"/>
        </w:rPr>
        <w:t>ả</w:t>
      </w:r>
      <w:r w:rsidRPr="000A3C50">
        <w:rPr>
          <w:lang w:val="it-IT"/>
        </w:rPr>
        <w:t>i quy</w:t>
      </w:r>
      <w:r w:rsidRPr="000A3C50">
        <w:rPr>
          <w:lang w:val="it-IT"/>
        </w:rPr>
        <w:t>ế</w:t>
      </w:r>
      <w:r w:rsidRPr="000A3C50">
        <w:rPr>
          <w:lang w:val="it-IT"/>
        </w:rPr>
        <w:t>t theo th</w:t>
      </w:r>
      <w:r w:rsidRPr="000A3C50">
        <w:rPr>
          <w:lang w:val="it-IT"/>
        </w:rPr>
        <w:t>ẩ</w:t>
      </w:r>
      <w:r w:rsidRPr="000A3C50">
        <w:rPr>
          <w:lang w:val="it-IT"/>
        </w:rPr>
        <w:t>m quy</w:t>
      </w:r>
      <w:r w:rsidRPr="000A3C50">
        <w:rPr>
          <w:lang w:val="it-IT"/>
        </w:rPr>
        <w:t>ề</w:t>
      </w:r>
      <w:r w:rsidRPr="000A3C50">
        <w:rPr>
          <w:lang w:val="it-IT"/>
        </w:rPr>
        <w:t>n./.</w:t>
      </w:r>
    </w:p>
    <w:tbl>
      <w:tblPr>
        <w:tblStyle w:val="StGen1"/>
        <w:tblW w:w="9220" w:type="dxa"/>
        <w:tblLayout w:type="fixed"/>
        <w:tblLook w:val="0400" w:firstRow="0" w:lastRow="0" w:firstColumn="0" w:lastColumn="0" w:noHBand="0" w:noVBand="1"/>
      </w:tblPr>
      <w:tblGrid>
        <w:gridCol w:w="4665"/>
        <w:gridCol w:w="4555"/>
      </w:tblGrid>
      <w:tr w:rsidR="004970DE" w:rsidRPr="000A3C50">
        <w:trPr>
          <w:trHeight w:val="2312"/>
        </w:trPr>
        <w:tc>
          <w:tcPr>
            <w:tcW w:w="4665" w:type="dxa"/>
            <w:tcMar>
              <w:top w:w="0" w:type="dxa"/>
              <w:left w:w="108" w:type="dxa"/>
              <w:bottom w:w="0" w:type="dxa"/>
              <w:right w:w="108" w:type="dxa"/>
            </w:tcMar>
          </w:tcPr>
          <w:p w:rsidR="004970DE" w:rsidRPr="000A3C50" w:rsidRDefault="00EA4F09">
            <w:pPr>
              <w:tabs>
                <w:tab w:val="left" w:pos="6323"/>
              </w:tabs>
              <w:spacing w:after="0"/>
              <w:ind w:left="-102"/>
              <w:rPr>
                <w:rFonts w:ascii="Times New Roman" w:eastAsia="Times New Roman" w:hAnsi="Times New Roman" w:cs="Times New Roman"/>
                <w:sz w:val="24"/>
                <w:szCs w:val="24"/>
                <w:lang w:val="en" w:eastAsia="zh-CN"/>
              </w:rPr>
            </w:pPr>
            <w:r w:rsidRPr="000A3C50">
              <w:rPr>
                <w:rFonts w:ascii="Times New Roman" w:eastAsia="Times New Roman" w:hAnsi="Times New Roman" w:cs="Times New Roman"/>
                <w:b/>
                <w:i/>
                <w:sz w:val="24"/>
                <w:szCs w:val="24"/>
                <w:lang w:val="en" w:eastAsia="zh-CN"/>
              </w:rPr>
              <w:t>Nơi n</w:t>
            </w:r>
            <w:r w:rsidRPr="000A3C50">
              <w:rPr>
                <w:rFonts w:ascii="Times New Roman" w:eastAsia="Times New Roman" w:hAnsi="Times New Roman" w:cs="Times New Roman"/>
                <w:b/>
                <w:i/>
                <w:sz w:val="24"/>
                <w:szCs w:val="24"/>
                <w:lang w:val="en" w:eastAsia="zh-CN"/>
              </w:rPr>
              <w:t>hận:</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i/>
                <w:sz w:val="22"/>
                <w:szCs w:val="22"/>
                <w:lang w:val="en" w:eastAsia="zh-CN"/>
              </w:rPr>
              <w:t xml:space="preserve">- </w:t>
            </w:r>
            <w:r w:rsidRPr="000A3C50">
              <w:rPr>
                <w:rFonts w:ascii="Times New Roman" w:eastAsia="Times New Roman" w:hAnsi="Times New Roman" w:cs="Times New Roman"/>
                <w:sz w:val="22"/>
                <w:szCs w:val="22"/>
                <w:lang w:val="en" w:eastAsia="zh-CN"/>
              </w:rPr>
              <w:t xml:space="preserve">Như Điều 3; </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TT.TU, TT.HĐND tỉnh;</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Văn phòng Chính phủ;</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xml:space="preserve">- CT, PCT.UBND tỉnh; </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Vụ Pháp chế thuộc Bộ Tài chính;</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Cục KTrVB&amp;</w:t>
            </w:r>
            <w:r w:rsidR="00AC3986">
              <w:rPr>
                <w:rFonts w:ascii="Times New Roman" w:eastAsia="Times New Roman" w:hAnsi="Times New Roman" w:cs="Times New Roman"/>
                <w:sz w:val="22"/>
                <w:szCs w:val="22"/>
                <w:lang w:val="en" w:eastAsia="zh-CN"/>
              </w:rPr>
              <w:t>TCTHPL</w:t>
            </w:r>
            <w:r w:rsidRPr="000A3C50">
              <w:rPr>
                <w:rFonts w:ascii="Times New Roman" w:eastAsia="Times New Roman" w:hAnsi="Times New Roman" w:cs="Times New Roman"/>
                <w:sz w:val="22"/>
                <w:szCs w:val="22"/>
                <w:lang w:val="en" w:eastAsia="zh-CN"/>
              </w:rPr>
              <w:t xml:space="preserve"> - Bộ Tư pháp;</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Đoàn ĐBQH đơn vị tỉnh Tây Ninh;</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xml:space="preserve">- CVP, PCVP.UBND tỉnh; </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Các sở, ngành tỉnh;</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xml:space="preserve">- </w:t>
            </w:r>
            <w:r w:rsidRPr="000A3C50">
              <w:rPr>
                <w:rFonts w:ascii="Times New Roman" w:hAnsi="Times New Roman" w:cs="Times New Roman"/>
                <w:sz w:val="24"/>
                <w:szCs w:val="21"/>
              </w:rPr>
              <w:t>Kho b</w:t>
            </w:r>
            <w:r w:rsidRPr="000A3C50">
              <w:rPr>
                <w:rFonts w:ascii="Times New Roman" w:hAnsi="Times New Roman" w:cs="Times New Roman"/>
                <w:sz w:val="24"/>
                <w:szCs w:val="21"/>
              </w:rPr>
              <w:t>ạ</w:t>
            </w:r>
            <w:r w:rsidRPr="000A3C50">
              <w:rPr>
                <w:rFonts w:ascii="Times New Roman" w:hAnsi="Times New Roman" w:cs="Times New Roman"/>
                <w:sz w:val="24"/>
                <w:szCs w:val="21"/>
              </w:rPr>
              <w:t>c Nhà nư</w:t>
            </w:r>
            <w:r w:rsidRPr="000A3C50">
              <w:rPr>
                <w:rFonts w:ascii="Times New Roman" w:hAnsi="Times New Roman" w:cs="Times New Roman"/>
                <w:sz w:val="24"/>
                <w:szCs w:val="21"/>
              </w:rPr>
              <w:t>ớ</w:t>
            </w:r>
            <w:r w:rsidRPr="000A3C50">
              <w:rPr>
                <w:rFonts w:ascii="Times New Roman" w:hAnsi="Times New Roman" w:cs="Times New Roman"/>
                <w:sz w:val="24"/>
                <w:szCs w:val="21"/>
              </w:rPr>
              <w:t>c khu v</w:t>
            </w:r>
            <w:r w:rsidRPr="000A3C50">
              <w:rPr>
                <w:rFonts w:ascii="Times New Roman" w:hAnsi="Times New Roman" w:cs="Times New Roman"/>
                <w:sz w:val="24"/>
                <w:szCs w:val="21"/>
              </w:rPr>
              <w:t>ự</w:t>
            </w:r>
            <w:r w:rsidRPr="000A3C50">
              <w:rPr>
                <w:rFonts w:ascii="Times New Roman" w:hAnsi="Times New Roman" w:cs="Times New Roman"/>
                <w:sz w:val="24"/>
                <w:szCs w:val="21"/>
              </w:rPr>
              <w:t>c XVIII;</w:t>
            </w:r>
          </w:p>
          <w:p w:rsidR="004970DE" w:rsidRPr="000A3C50" w:rsidRDefault="00EA4F09">
            <w:pPr>
              <w:tabs>
                <w:tab w:val="left" w:pos="3150"/>
              </w:tabs>
              <w:spacing w:after="0"/>
              <w:ind w:left="-105"/>
              <w:rPr>
                <w:rFonts w:ascii="Times New Roman" w:eastAsia="Times New Roman" w:hAnsi="Times New Roman" w:cs="Times New Roman"/>
                <w:sz w:val="22"/>
                <w:szCs w:val="22"/>
                <w:lang w:val="en" w:eastAsia="zh-CN"/>
              </w:rPr>
            </w:pPr>
            <w:r w:rsidRPr="000A3C50">
              <w:rPr>
                <w:rFonts w:ascii="Times New Roman" w:eastAsia="Times New Roman" w:hAnsi="Times New Roman" w:cs="Times New Roman"/>
                <w:sz w:val="22"/>
                <w:szCs w:val="22"/>
                <w:lang w:val="en" w:eastAsia="zh-CN"/>
              </w:rPr>
              <w:t>- Phòng: VHXH, KTTC;</w:t>
            </w:r>
          </w:p>
          <w:p w:rsidR="004970DE" w:rsidRPr="000A3C50" w:rsidRDefault="00060260">
            <w:pPr>
              <w:pBdr>
                <w:top w:val="none" w:sz="0" w:space="0" w:color="000000"/>
                <w:left w:val="none" w:sz="0" w:space="0" w:color="000000"/>
                <w:bottom w:val="none" w:sz="0" w:space="0" w:color="000000"/>
                <w:right w:val="none" w:sz="0" w:space="0" w:color="000000"/>
                <w:between w:val="none" w:sz="0" w:space="0" w:color="000000"/>
              </w:pBdr>
              <w:spacing w:after="120"/>
              <w:ind w:left="-105"/>
              <w:rPr>
                <w:rFonts w:ascii="Times New Roman" w:eastAsia="Times New Roman" w:hAnsi="Times New Roman" w:cs="Times New Roman"/>
                <w:color w:val="000000"/>
                <w:sz w:val="22"/>
                <w:szCs w:val="22"/>
                <w:lang w:val="en" w:eastAsia="zh-CN"/>
              </w:rPr>
            </w:pPr>
            <w:r>
              <w:rPr>
                <w:rFonts w:ascii="Times New Roman" w:eastAsia="Times New Roman" w:hAnsi="Times New Roman" w:cs="Times New Roman"/>
                <w:color w:val="000000"/>
                <w:sz w:val="22"/>
                <w:szCs w:val="22"/>
                <w:lang w:val="en" w:eastAsia="zh-CN"/>
              </w:rPr>
              <w:t>- Lưu: VT</w:t>
            </w:r>
          </w:p>
          <w:p w:rsidR="004970DE" w:rsidRPr="000A3C50" w:rsidRDefault="004970DE">
            <w:pPr>
              <w:tabs>
                <w:tab w:val="left" w:pos="6323"/>
              </w:tabs>
              <w:spacing w:after="0"/>
              <w:ind w:left="-102"/>
              <w:rPr>
                <w:rFonts w:ascii="Times New Roman" w:eastAsia="Times New Roman" w:hAnsi="Times New Roman" w:cs="Times New Roman"/>
                <w:sz w:val="24"/>
                <w:szCs w:val="24"/>
                <w:lang w:val="en" w:eastAsia="zh-CN"/>
              </w:rPr>
            </w:pPr>
          </w:p>
        </w:tc>
        <w:tc>
          <w:tcPr>
            <w:tcW w:w="4555" w:type="dxa"/>
            <w:tcMar>
              <w:top w:w="0" w:type="dxa"/>
              <w:left w:w="108" w:type="dxa"/>
              <w:bottom w:w="0" w:type="dxa"/>
              <w:right w:w="108" w:type="dxa"/>
            </w:tcMar>
          </w:tcPr>
          <w:p w:rsidR="004970DE" w:rsidRPr="000A3C50" w:rsidRDefault="00EA4F09">
            <w:pPr>
              <w:tabs>
                <w:tab w:val="left" w:pos="6323"/>
              </w:tabs>
              <w:spacing w:after="0"/>
              <w:ind w:left="-156"/>
              <w:jc w:val="center"/>
              <w:rPr>
                <w:rFonts w:ascii="Times New Roman" w:eastAsia="Times New Roman" w:hAnsi="Times New Roman" w:cs="Times New Roman"/>
                <w:b/>
                <w:lang w:val="en" w:eastAsia="zh-CN"/>
              </w:rPr>
            </w:pPr>
            <w:r w:rsidRPr="000A3C50">
              <w:rPr>
                <w:rFonts w:ascii="Times New Roman" w:eastAsia="Times New Roman" w:hAnsi="Times New Roman" w:cs="Times New Roman"/>
                <w:b/>
                <w:lang w:val="en" w:eastAsia="zh-CN"/>
              </w:rPr>
              <w:t>CHỦ TỊCH</w:t>
            </w:r>
          </w:p>
          <w:p w:rsidR="004970DE" w:rsidRPr="000A3C50" w:rsidRDefault="00EA4F09">
            <w:pPr>
              <w:tabs>
                <w:tab w:val="left" w:pos="6323"/>
              </w:tabs>
              <w:spacing w:after="0"/>
              <w:ind w:left="-156"/>
              <w:jc w:val="center"/>
              <w:rPr>
                <w:rFonts w:ascii="Times New Roman" w:eastAsia="Times New Roman" w:hAnsi="Times New Roman" w:cs="Times New Roman"/>
                <w:sz w:val="24"/>
                <w:szCs w:val="24"/>
                <w:lang w:val="en" w:eastAsia="zh-CN"/>
              </w:rPr>
            </w:pPr>
            <w:r w:rsidRPr="000A3C50">
              <w:rPr>
                <w:rFonts w:ascii="Times New Roman" w:eastAsia="Times New Roman" w:hAnsi="Times New Roman" w:cs="Times New Roman"/>
                <w:sz w:val="24"/>
                <w:szCs w:val="24"/>
                <w:lang w:val="en" w:eastAsia="zh-CN"/>
              </w:rPr>
              <w:t> </w:t>
            </w:r>
          </w:p>
          <w:p w:rsidR="004970DE" w:rsidRPr="000A3C50" w:rsidRDefault="004970DE">
            <w:pPr>
              <w:tabs>
                <w:tab w:val="left" w:pos="6323"/>
              </w:tabs>
              <w:spacing w:after="0"/>
              <w:ind w:left="-156"/>
              <w:jc w:val="center"/>
              <w:rPr>
                <w:rFonts w:ascii="Times New Roman" w:eastAsia="Times New Roman" w:hAnsi="Times New Roman" w:cs="Times New Roman"/>
                <w:sz w:val="24"/>
                <w:szCs w:val="24"/>
                <w:lang w:val="en" w:eastAsia="zh-CN"/>
              </w:rPr>
            </w:pPr>
          </w:p>
          <w:p w:rsidR="004970DE" w:rsidRPr="000A3C50" w:rsidRDefault="004970DE">
            <w:pPr>
              <w:tabs>
                <w:tab w:val="left" w:pos="6323"/>
              </w:tabs>
              <w:spacing w:after="0"/>
              <w:ind w:left="-156"/>
              <w:jc w:val="center"/>
              <w:rPr>
                <w:rFonts w:ascii="Times New Roman" w:eastAsia="Times New Roman" w:hAnsi="Times New Roman" w:cs="Times New Roman"/>
                <w:sz w:val="24"/>
                <w:szCs w:val="24"/>
                <w:lang w:val="en" w:eastAsia="zh-CN"/>
              </w:rPr>
            </w:pPr>
          </w:p>
          <w:p w:rsidR="004970DE" w:rsidRPr="000A3C50" w:rsidRDefault="004970DE">
            <w:pPr>
              <w:tabs>
                <w:tab w:val="left" w:pos="6323"/>
              </w:tabs>
              <w:spacing w:after="0"/>
              <w:ind w:left="-156"/>
              <w:jc w:val="center"/>
              <w:rPr>
                <w:rFonts w:ascii="Times New Roman" w:eastAsia="Times New Roman" w:hAnsi="Times New Roman" w:cs="Times New Roman"/>
                <w:sz w:val="24"/>
                <w:szCs w:val="24"/>
                <w:lang w:val="en" w:eastAsia="zh-CN"/>
              </w:rPr>
            </w:pPr>
          </w:p>
          <w:p w:rsidR="004970DE" w:rsidRPr="000A3C50" w:rsidRDefault="004970DE">
            <w:pPr>
              <w:tabs>
                <w:tab w:val="left" w:pos="6323"/>
              </w:tabs>
              <w:spacing w:after="0"/>
              <w:ind w:left="-156"/>
              <w:jc w:val="center"/>
              <w:rPr>
                <w:rFonts w:ascii="Times New Roman" w:eastAsia="Times New Roman" w:hAnsi="Times New Roman" w:cs="Times New Roman"/>
                <w:sz w:val="24"/>
                <w:szCs w:val="24"/>
                <w:lang w:val="en" w:eastAsia="zh-CN"/>
              </w:rPr>
            </w:pPr>
          </w:p>
          <w:p w:rsidR="004970DE" w:rsidRPr="000A3C50" w:rsidRDefault="004970DE">
            <w:pPr>
              <w:tabs>
                <w:tab w:val="left" w:pos="6323"/>
              </w:tabs>
              <w:spacing w:after="0"/>
              <w:ind w:left="-156"/>
              <w:jc w:val="center"/>
              <w:rPr>
                <w:rFonts w:ascii="Times New Roman" w:eastAsia="Times New Roman" w:hAnsi="Times New Roman" w:cs="Times New Roman"/>
                <w:sz w:val="24"/>
                <w:szCs w:val="24"/>
                <w:lang w:val="en" w:eastAsia="zh-CN"/>
              </w:rPr>
            </w:pPr>
          </w:p>
          <w:p w:rsidR="004970DE" w:rsidRPr="000A3C50" w:rsidRDefault="00EA4F09">
            <w:pPr>
              <w:tabs>
                <w:tab w:val="left" w:pos="6323"/>
              </w:tabs>
              <w:spacing w:after="0"/>
              <w:ind w:left="-156"/>
              <w:jc w:val="center"/>
              <w:rPr>
                <w:rFonts w:ascii="Times New Roman" w:eastAsia="Times New Roman" w:hAnsi="Times New Roman" w:cs="Times New Roman"/>
                <w:sz w:val="24"/>
                <w:szCs w:val="24"/>
                <w:lang w:val="en" w:eastAsia="zh-CN"/>
              </w:rPr>
            </w:pPr>
            <w:r w:rsidRPr="000A3C50">
              <w:rPr>
                <w:rFonts w:ascii="Times New Roman" w:eastAsia="Times New Roman" w:hAnsi="Times New Roman" w:cs="Times New Roman"/>
                <w:sz w:val="24"/>
                <w:szCs w:val="24"/>
                <w:lang w:val="en" w:eastAsia="zh-CN"/>
              </w:rPr>
              <w:t>   </w:t>
            </w:r>
          </w:p>
          <w:p w:rsidR="004970DE" w:rsidRPr="000A3C50" w:rsidRDefault="004970DE">
            <w:pPr>
              <w:tabs>
                <w:tab w:val="left" w:pos="6323"/>
              </w:tabs>
              <w:spacing w:after="0"/>
              <w:ind w:left="-156"/>
              <w:jc w:val="center"/>
              <w:rPr>
                <w:rFonts w:ascii="Times New Roman" w:eastAsia="Times New Roman" w:hAnsi="Times New Roman" w:cs="Times New Roman"/>
                <w:sz w:val="24"/>
                <w:szCs w:val="24"/>
                <w:highlight w:val="yellow"/>
                <w:lang w:val="en" w:eastAsia="zh-CN"/>
              </w:rPr>
            </w:pPr>
          </w:p>
          <w:p w:rsidR="004970DE" w:rsidRPr="000A3C50" w:rsidRDefault="00EA4F09">
            <w:pPr>
              <w:spacing w:after="0"/>
              <w:jc w:val="center"/>
              <w:rPr>
                <w:rFonts w:ascii="Times New Roman" w:eastAsia="Times New Roman" w:hAnsi="Times New Roman" w:cs="Times New Roman"/>
                <w:b/>
                <w:highlight w:val="yellow"/>
                <w:lang w:val="en" w:eastAsia="zh-CN"/>
              </w:rPr>
            </w:pPr>
            <w:r w:rsidRPr="000A3C50">
              <w:rPr>
                <w:rFonts w:ascii="Times New Roman" w:eastAsia="Times New Roman" w:hAnsi="Times New Roman" w:cs="Times New Roman"/>
                <w:b/>
                <w:lang w:val="en" w:eastAsia="zh-CN"/>
              </w:rPr>
              <w:t>Lê Văn Hẳn</w:t>
            </w:r>
          </w:p>
        </w:tc>
      </w:tr>
    </w:tbl>
    <w:p w:rsidR="004970DE" w:rsidRPr="000A3C50" w:rsidRDefault="004970DE">
      <w:pPr>
        <w:spacing w:after="0"/>
        <w:rPr>
          <w:lang w:val="nl-NL"/>
        </w:rPr>
        <w:sectPr w:rsidR="004970DE" w:rsidRPr="000A3C50">
          <w:headerReference w:type="default" r:id="rId9"/>
          <w:footerReference w:type="default" r:id="rId10"/>
          <w:pgSz w:w="11907" w:h="16840"/>
          <w:pgMar w:top="1191" w:right="1134" w:bottom="1191" w:left="1701" w:header="720" w:footer="0" w:gutter="0"/>
          <w:cols w:space="720"/>
          <w:titlePg/>
        </w:sectPr>
      </w:pPr>
    </w:p>
    <w:p w:rsidR="004970DE" w:rsidRPr="000A3C50" w:rsidRDefault="004970DE" w:rsidP="00AC3986">
      <w:pPr>
        <w:widowControl w:val="0"/>
        <w:pBdr>
          <w:top w:val="single" w:sz="4" w:space="0" w:color="FFFFFF"/>
          <w:left w:val="single" w:sz="4" w:space="0" w:color="FFFFFF"/>
          <w:bottom w:val="single" w:sz="4" w:space="31" w:color="FFFFFF"/>
          <w:right w:val="single" w:sz="4" w:space="0" w:color="FFFFFF"/>
        </w:pBdr>
        <w:shd w:val="clear" w:color="auto" w:fill="FFFFFF"/>
        <w:spacing w:after="120" w:line="264" w:lineRule="auto"/>
        <w:jc w:val="both"/>
      </w:pPr>
    </w:p>
    <w:sectPr w:rsidR="004970DE" w:rsidRPr="000A3C50">
      <w:pgSz w:w="11907" w:h="16840"/>
      <w:pgMar w:top="1134" w:right="1134" w:bottom="1134" w:left="1701"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F09" w:rsidRDefault="00EA4F09">
      <w:pPr>
        <w:spacing w:after="0"/>
      </w:pPr>
      <w:r>
        <w:separator/>
      </w:r>
    </w:p>
  </w:endnote>
  <w:endnote w:type="continuationSeparator" w:id="0">
    <w:p w:rsidR="00EA4F09" w:rsidRDefault="00EA4F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DE" w:rsidRDefault="004970DE">
    <w:pPr>
      <w:pStyle w:val="Footer"/>
      <w:jc w:val="right"/>
    </w:pPr>
  </w:p>
  <w:p w:rsidR="004970DE" w:rsidRDefault="00497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F09" w:rsidRDefault="00EA4F09">
      <w:pPr>
        <w:spacing w:after="0"/>
      </w:pPr>
      <w:r>
        <w:separator/>
      </w:r>
    </w:p>
  </w:footnote>
  <w:footnote w:type="continuationSeparator" w:id="0">
    <w:p w:rsidR="00EA4F09" w:rsidRDefault="00EA4F0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0DE" w:rsidRDefault="00EA4F09">
    <w:pPr>
      <w:pStyle w:val="Header"/>
      <w:jc w:val="center"/>
    </w:pPr>
    <w:r>
      <w:fldChar w:fldCharType="begin"/>
    </w:r>
    <w:r>
      <w:instrText xml:space="preserve"> PAGE   \* MERGEFORMAT </w:instrText>
    </w:r>
    <w:r>
      <w:fldChar w:fldCharType="separate"/>
    </w:r>
    <w:r w:rsidR="00AC3986">
      <w:rPr>
        <w:noProof/>
      </w:rPr>
      <w:t>4</w:t>
    </w:r>
    <w:r>
      <w:fldChar w:fldCharType="end"/>
    </w:r>
  </w:p>
  <w:p w:rsidR="004970DE" w:rsidRDefault="00497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ECC"/>
    <w:multiLevelType w:val="multilevel"/>
    <w:tmpl w:val="7A5CB874"/>
    <w:lvl w:ilvl="0">
      <w:start w:val="1"/>
      <w:numFmt w:val="bullet"/>
      <w:lvlText w:val=""/>
      <w:lvlJc w:val="left"/>
      <w:pPr>
        <w:ind w:left="1080" w:hanging="360"/>
      </w:pPr>
      <w:rPr>
        <w:rFonts w:ascii="Wingdings" w:eastAsia="SimSun" w:hAnsi="Wingdings" w:cs="Times New Roman"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ADA0BC6"/>
    <w:multiLevelType w:val="multilevel"/>
    <w:tmpl w:val="9510EB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DF0F49"/>
    <w:multiLevelType w:val="multilevel"/>
    <w:tmpl w:val="09823A94"/>
    <w:lvl w:ilvl="0">
      <w:start w:val="1"/>
      <w:numFmt w:val="decimal"/>
      <w:suff w:val="space"/>
      <w:lvlText w:val="%1."/>
      <w:lvlJc w:val="left"/>
      <w:rPr>
        <w:rFonts w:hint="default"/>
        <w:b w:val="0"/>
        <w:bCs w:val="0"/>
      </w:rPr>
    </w:lvl>
    <w:lvl w:ilvl="1">
      <w:numFmt w:val="bullet"/>
      <w:lvlText w:val="᳇Ȧᾂ᳇Ȧ(᳢Ȧ᳢Ȧ労鯟翺."/>
      <w:lvlJc w:val="left"/>
    </w:lvl>
    <w:lvl w:ilvl="2">
      <w:numFmt w:val="bullet"/>
      <w:lvlText w:val="᳇Ȧᾂ᳇Ȧ(᳢Ȧ᳢Ȧ労鯟翺."/>
      <w:lvlJc w:val="left"/>
    </w:lvl>
    <w:lvl w:ilvl="3">
      <w:numFmt w:val="bullet"/>
      <w:lvlText w:val="᳇Ȧᾂ᳇Ȧ(᳢Ȧ᳢Ȧ労鯟翺."/>
      <w:lvlJc w:val="left"/>
    </w:lvl>
    <w:lvl w:ilvl="4">
      <w:numFmt w:val="bullet"/>
      <w:lvlText w:val="᳇Ȧᾂ᳇Ȧ(᳢Ȧ᳢Ȧ労鯟翺."/>
      <w:lvlJc w:val="left"/>
    </w:lvl>
    <w:lvl w:ilvl="5">
      <w:numFmt w:val="bullet"/>
      <w:lvlText w:val="᳇Ȧᾂ᳇Ȧ(᳢Ȧ᳢Ȧ労鯟翺."/>
      <w:lvlJc w:val="left"/>
    </w:lvl>
    <w:lvl w:ilvl="6">
      <w:numFmt w:val="bullet"/>
      <w:lvlText w:val="᳇Ȧᾂ᳇Ȧ(᳢Ȧ᳢Ȧ労鯟翺."/>
      <w:lvlJc w:val="left"/>
    </w:lvl>
    <w:lvl w:ilvl="7">
      <w:numFmt w:val="bullet"/>
      <w:lvlText w:val="᳇Ȧᾂ᳇Ȧ(᳢Ȧ᳢Ȧ労鯟翺."/>
      <w:lvlJc w:val="left"/>
    </w:lvl>
    <w:lvl w:ilvl="8">
      <w:numFmt w:val="bullet"/>
      <w:lvlText w:val="᳇Ȧᾂ᳇Ȧ(᳢Ȧ᳢Ȧ労鯟翺."/>
      <w:lvlJc w:val="left"/>
    </w:lvl>
  </w:abstractNum>
  <w:abstractNum w:abstractNumId="3" w15:restartNumberingAfterBreak="0">
    <w:nsid w:val="239D0788"/>
    <w:multiLevelType w:val="multilevel"/>
    <w:tmpl w:val="5DB20C24"/>
    <w:lvl w:ilvl="0">
      <w:start w:val="1"/>
      <w:numFmt w:val="decimal"/>
      <w:suff w:val="space"/>
      <w:lvlText w:val="%1."/>
      <w:lvlJc w:val="left"/>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4" w15:restartNumberingAfterBreak="0">
    <w:nsid w:val="39343FD4"/>
    <w:multiLevelType w:val="hybridMultilevel"/>
    <w:tmpl w:val="6D584CA6"/>
    <w:lvl w:ilvl="0" w:tplc="08C819A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C441928"/>
    <w:multiLevelType w:val="multilevel"/>
    <w:tmpl w:val="855C7A6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D33382"/>
    <w:multiLevelType w:val="multilevel"/>
    <w:tmpl w:val="8640EB22"/>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A624690"/>
    <w:multiLevelType w:val="multilevel"/>
    <w:tmpl w:val="682A7A3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DAB60BD"/>
    <w:multiLevelType w:val="multilevel"/>
    <w:tmpl w:val="F0E4E7D8"/>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7"/>
  </w:num>
  <w:num w:numId="4">
    <w:abstractNumId w:val="1"/>
  </w:num>
  <w:num w:numId="5">
    <w:abstractNumId w:val="5"/>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DE"/>
    <w:rsid w:val="00050DA4"/>
    <w:rsid w:val="00060260"/>
    <w:rsid w:val="000A3C50"/>
    <w:rsid w:val="002A3AEE"/>
    <w:rsid w:val="002A7BBB"/>
    <w:rsid w:val="003A6BFA"/>
    <w:rsid w:val="004716C9"/>
    <w:rsid w:val="004970DE"/>
    <w:rsid w:val="00504142"/>
    <w:rsid w:val="005E183A"/>
    <w:rsid w:val="00677782"/>
    <w:rsid w:val="00725D70"/>
    <w:rsid w:val="008A700F"/>
    <w:rsid w:val="00A53F64"/>
    <w:rsid w:val="00AC3986"/>
    <w:rsid w:val="00CC34C3"/>
    <w:rsid w:val="00CC635E"/>
    <w:rsid w:val="00CE1CDC"/>
    <w:rsid w:val="00E02FA5"/>
    <w:rsid w:val="00EA47DC"/>
    <w:rsid w:val="00EA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8B11"/>
  <w15:docId w15:val="{D0DBCF85-F9D7-467C-B35D-BE73203B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8"/>
      <w:szCs w:val="28"/>
      <w:lang w:val="en-US" w:eastAsia="en-US"/>
    </w:rPr>
  </w:style>
  <w:style w:type="paragraph" w:styleId="Heading1">
    <w:name w:val="heading 1"/>
    <w:basedOn w:val="Normal"/>
    <w:next w:val="Normal"/>
    <w:link w:val="Heading1Char"/>
    <w:qFormat/>
    <w:pPr>
      <w:keepNext/>
      <w:spacing w:after="0"/>
      <w:outlineLvl w:val="0"/>
    </w:pPr>
    <w:rPr>
      <w:rFonts w:eastAsia="Times New Roman"/>
      <w:b/>
      <w:bCs/>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spacing w:before="240" w:after="60"/>
      <w:outlineLvl w:val="2"/>
    </w:pPr>
    <w:rPr>
      <w:rFonts w:ascii="Arial" w:eastAsia="Times New Roman" w:hAnsi="Arial"/>
      <w:b/>
      <w:bCs/>
      <w:sz w:val="26"/>
      <w:szCs w:val="26"/>
    </w:rPr>
  </w:style>
  <w:style w:type="paragraph" w:styleId="Heading4">
    <w:name w:val="heading 4"/>
    <w:basedOn w:val="Normal"/>
    <w:next w:val="Normal"/>
    <w:link w:val="Heading4Char"/>
    <w:qFormat/>
    <w:pPr>
      <w:keepNext/>
      <w:spacing w:before="240" w:after="60"/>
      <w:outlineLvl w:val="3"/>
    </w:pPr>
    <w:rPr>
      <w:rFonts w:eastAsia="Times New Roman"/>
      <w:b/>
      <w:bCs/>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qFormat/>
    <w:pPr>
      <w:spacing w:before="240" w:after="60"/>
      <w:outlineLvl w:val="5"/>
    </w:pPr>
    <w:rPr>
      <w:rFonts w:eastAsia="Times New Roman"/>
      <w:b/>
      <w:bCs/>
      <w:sz w:val="22"/>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after="0"/>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rPr>
      <w:i/>
      <w:iCs/>
      <w:color w:val="1F497D" w:themeColor="text2"/>
      <w:sz w:val="18"/>
      <w:szCs w:val="18"/>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paragraph" w:styleId="BodyText">
    <w:name w:val="Body Text"/>
    <w:basedOn w:val="Normal"/>
    <w:link w:val="BodyTextChar"/>
    <w:qFormat/>
    <w:pPr>
      <w:spacing w:after="120"/>
    </w:pPr>
    <w:rPr>
      <w:rFonts w:eastAsia="Times New Roman"/>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eastAsia="Times New Roman"/>
      <w:b/>
      <w:bCs/>
      <w:sz w:val="28"/>
      <w:szCs w:val="24"/>
    </w:rPr>
  </w:style>
  <w:style w:type="character" w:customStyle="1" w:styleId="BodyTextChar">
    <w:name w:val="Body Text Char"/>
    <w:link w:val="BodyText"/>
    <w:qFormat/>
    <w:rPr>
      <w:rFonts w:eastAsia="Times New Roman"/>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link w:val="Header"/>
    <w:uiPriority w:val="99"/>
    <w:qFormat/>
    <w:rPr>
      <w:sz w:val="28"/>
      <w:szCs w:val="22"/>
    </w:rPr>
  </w:style>
  <w:style w:type="character" w:customStyle="1" w:styleId="FooterChar">
    <w:name w:val="Footer Char"/>
    <w:link w:val="Footer"/>
    <w:uiPriority w:val="99"/>
    <w:qFormat/>
    <w:rPr>
      <w:sz w:val="28"/>
      <w:szCs w:val="22"/>
    </w:rPr>
  </w:style>
  <w:style w:type="character" w:customStyle="1" w:styleId="Heading3Char">
    <w:name w:val="Heading 3 Char"/>
    <w:link w:val="Heading3"/>
    <w:qFormat/>
    <w:rPr>
      <w:rFonts w:ascii="Arial" w:eastAsia="Times New Roman" w:hAnsi="Arial" w:cs="Arial"/>
      <w:b/>
      <w:bCs/>
      <w:sz w:val="26"/>
      <w:szCs w:val="26"/>
    </w:rPr>
  </w:style>
  <w:style w:type="character" w:customStyle="1" w:styleId="Heading4Char">
    <w:name w:val="Heading 4 Char"/>
    <w:link w:val="Heading4"/>
    <w:qFormat/>
    <w:rPr>
      <w:rFonts w:eastAsia="Times New Roman"/>
      <w:b/>
      <w:bCs/>
      <w:sz w:val="28"/>
      <w:szCs w:val="28"/>
    </w:rPr>
  </w:style>
  <w:style w:type="character" w:customStyle="1" w:styleId="Heading6Char">
    <w:name w:val="Heading 6 Char"/>
    <w:link w:val="Heading6"/>
    <w:qFormat/>
    <w:rPr>
      <w:rFonts w:eastAsia="Times New Roman"/>
      <w:b/>
      <w:bCs/>
      <w:sz w:val="22"/>
      <w:szCs w:val="22"/>
    </w:rPr>
  </w:style>
  <w:style w:type="character" w:customStyle="1" w:styleId="vn5">
    <w:name w:val="vn_5"/>
    <w:qFormat/>
  </w:style>
  <w:style w:type="character" w:customStyle="1" w:styleId="vn8">
    <w:name w:val="vn_8"/>
    <w:qFormat/>
  </w:style>
  <w:style w:type="character" w:customStyle="1" w:styleId="BalloonTextChar">
    <w:name w:val="Balloon Text Char"/>
    <w:link w:val="BalloonText"/>
    <w:uiPriority w:val="99"/>
    <w:semiHidden/>
    <w:qFormat/>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0"/>
    </w:pPr>
    <w:rPr>
      <w:rFonts w:eastAsia="Times New Roman"/>
      <w:sz w:val="20"/>
      <w:szCs w:val="20"/>
      <w:lang w:val="vi-VN" w:eastAsia="vi-VN"/>
    </w:rPr>
  </w:style>
  <w:style w:type="character" w:customStyle="1" w:styleId="CommentTextChar">
    <w:name w:val="Comment Text Char"/>
    <w:basedOn w:val="DefaultParagraphFont"/>
    <w:link w:val="CommentText"/>
    <w:uiPriority w:val="99"/>
    <w:semiHidden/>
    <w:rPr>
      <w:rFonts w:eastAsia="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US" w:eastAsia="en-US"/>
    </w:rPr>
  </w:style>
  <w:style w:type="character" w:customStyle="1" w:styleId="FontStyle16">
    <w:name w:val="Font Style16"/>
    <w:uiPriority w:val="99"/>
    <w:rPr>
      <w:rFonts w:ascii="Times New Roman" w:hAnsi="Times New Roman" w:cs="Times New Roman"/>
      <w:color w:val="000000"/>
      <w:sz w:val="28"/>
      <w:szCs w:val="28"/>
    </w:rPr>
  </w:style>
  <w:style w:type="character" w:styleId="Emphasis">
    <w:name w:val="Emphasis"/>
    <w:uiPriority w:val="20"/>
    <w:qFormat/>
    <w:rPr>
      <w:i/>
      <w:i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lang w:val="en-US" w:eastAsia="en-US"/>
    </w:rPr>
  </w:style>
  <w:style w:type="character" w:styleId="FootnoteReference">
    <w:name w:val="footnote reference"/>
    <w:basedOn w:val="DefaultParagraphFont"/>
    <w:uiPriority w:val="99"/>
    <w:semiHidden/>
    <w:unhideWhenUsed/>
    <w:rPr>
      <w:vertAlign w:val="superscript"/>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sz w:val="28"/>
      <w:szCs w:val="28"/>
      <w:lang w:val="en-US" w:eastAsia="en-US"/>
    </w:rPr>
  </w:style>
  <w:style w:type="table" w:customStyle="1" w:styleId="StGen1">
    <w:name w:val="StGen1"/>
    <w:basedOn w:val="TableNormal"/>
    <w:rPr>
      <w:rFonts w:ascii="Calibri" w:eastAsia="Calibri" w:hAnsi="Calibri" w:cs="Calibri"/>
      <w:sz w:val="22"/>
      <w:szCs w:val="22"/>
      <w:lang w:val="en" w:eastAsia="zh-CN"/>
    </w:rPr>
    <w:tblPr>
      <w:tblStyleRowBandSize w:val="1"/>
      <w:tblStyleColBandSize w:val="1"/>
      <w:tblCellMar>
        <w:top w:w="28" w:type="dxa"/>
        <w:left w:w="115" w:type="dxa"/>
        <w:bottom w:w="28" w:type="dxa"/>
        <w:right w:w="115" w:type="dxa"/>
      </w:tblCellMar>
    </w:tblPr>
  </w:style>
  <w:style w:type="character" w:customStyle="1" w:styleId="NormalWebChar">
    <w:name w:val="Normal (Web) Char"/>
    <w:link w:val="NormalWeb"/>
    <w:uiPriority w:val="99"/>
    <w:rsid w:val="005E183A"/>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6EB72-A4A3-4E7F-83ED-A98DC556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26</cp:revision>
  <dcterms:created xsi:type="dcterms:W3CDTF">2026-04-28T07:37:00Z</dcterms:created>
  <dcterms:modified xsi:type="dcterms:W3CDTF">2026-04-28T08:30:00Z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1944F92CA75F42F1A8515601AD873117_13</vt:lpwstr>
  </property>
</Properties>
</file>